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charts/chart10.xml" ContentType="application/vnd.openxmlformats-officedocument.drawingml.chart+xml"/>
  <Override PartName="/word/theme/themeOverride10.xml" ContentType="application/vnd.openxmlformats-officedocument.themeOverride+xml"/>
  <Override PartName="/word/charts/chart11.xml" ContentType="application/vnd.openxmlformats-officedocument.drawingml.chart+xml"/>
  <Override PartName="/word/theme/themeOverride11.xml" ContentType="application/vnd.openxmlformats-officedocument.themeOverride+xml"/>
  <Override PartName="/word/charts/chart12.xml" ContentType="application/vnd.openxmlformats-officedocument.drawingml.chart+xml"/>
  <Override PartName="/word/theme/themeOverride12.xml" ContentType="application/vnd.openxmlformats-officedocument.themeOverride+xml"/>
  <Override PartName="/word/charts/chart13.xml" ContentType="application/vnd.openxmlformats-officedocument.drawingml.chart+xml"/>
  <Override PartName="/word/theme/themeOverride13.xml" ContentType="application/vnd.openxmlformats-officedocument.themeOverride+xml"/>
  <Override PartName="/word/charts/chart14.xml" ContentType="application/vnd.openxmlformats-officedocument.drawingml.chart+xml"/>
  <Override PartName="/word/theme/themeOverride14.xml" ContentType="application/vnd.openxmlformats-officedocument.themeOverride+xml"/>
  <Override PartName="/word/charts/chart15.xml" ContentType="application/vnd.openxmlformats-officedocument.drawingml.chart+xml"/>
  <Override PartName="/word/theme/themeOverride15.xml" ContentType="application/vnd.openxmlformats-officedocument.themeOverride+xml"/>
  <Override PartName="/word/charts/chart16.xml" ContentType="application/vnd.openxmlformats-officedocument.drawingml.chart+xml"/>
  <Override PartName="/word/theme/themeOverride16.xml" ContentType="application/vnd.openxmlformats-officedocument.themeOverride+xml"/>
  <Override PartName="/word/charts/chart17.xml" ContentType="application/vnd.openxmlformats-officedocument.drawingml.chart+xml"/>
  <Override PartName="/word/theme/themeOverride17.xml" ContentType="application/vnd.openxmlformats-officedocument.themeOverride+xml"/>
  <Override PartName="/word/charts/chart18.xml" ContentType="application/vnd.openxmlformats-officedocument.drawingml.chart+xml"/>
  <Override PartName="/word/theme/themeOverride18.xml" ContentType="application/vnd.openxmlformats-officedocument.themeOverride+xml"/>
  <Override PartName="/word/charts/chart19.xml" ContentType="application/vnd.openxmlformats-officedocument.drawingml.chart+xml"/>
  <Override PartName="/word/theme/themeOverride19.xml" ContentType="application/vnd.openxmlformats-officedocument.themeOverride+xml"/>
  <Override PartName="/word/charts/chart20.xml" ContentType="application/vnd.openxmlformats-officedocument.drawingml.chart+xml"/>
  <Override PartName="/word/theme/themeOverride20.xml" ContentType="application/vnd.openxmlformats-officedocument.themeOverride+xml"/>
  <Override PartName="/word/charts/chart21.xml" ContentType="application/vnd.openxmlformats-officedocument.drawingml.chart+xml"/>
  <Override PartName="/word/theme/themeOverride21.xml" ContentType="application/vnd.openxmlformats-officedocument.themeOverride+xml"/>
  <Override PartName="/word/charts/chart22.xml" ContentType="application/vnd.openxmlformats-officedocument.drawingml.chart+xml"/>
  <Override PartName="/word/theme/themeOverride22.xml" ContentType="application/vnd.openxmlformats-officedocument.themeOverride+xml"/>
  <Override PartName="/word/charts/chart23.xml" ContentType="application/vnd.openxmlformats-officedocument.drawingml.chart+xml"/>
  <Override PartName="/word/theme/themeOverride23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61773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4D4354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29 апреля 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  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</w:t>
      </w:r>
      <w:r w:rsidR="004D4354">
        <w:rPr>
          <w:rFonts w:ascii="Times New Roman" w:eastAsia="Times New Roman" w:hAnsi="Times New Roman" w:cs="Times New Roman"/>
          <w:color w:val="000000"/>
          <w:sz w:val="28"/>
          <w:szCs w:val="28"/>
        </w:rPr>
        <w:t>419</w:t>
      </w:r>
    </w:p>
    <w:p w:rsidR="00FA5F02" w:rsidRDefault="0028160B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6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EAh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2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fKREAIAACgEAAAOAAAAZHJzL2Uyb0RvYy54bWysU8GO2jAQvVfqP1i+QxIaW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AOqfKREAIA&#10;ACg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9F2650" w:rsidRDefault="009F2650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4354">
        <w:rPr>
          <w:rFonts w:ascii="Times New Roman" w:eastAsia="Times New Roman" w:hAnsi="Times New Roman" w:cs="Times New Roman"/>
          <w:b/>
          <w:i/>
          <w:sz w:val="28"/>
          <w:szCs w:val="28"/>
        </w:rPr>
        <w:t>Об утверждении доклада главы Администрации муниципального образования Алапаевское о достигнутых значениях показателей для оценки эффективности деятельности органов местного самоуправления муниципального образования Алапаевское за 2014 год и их планируемых значениях на трехлетний период</w:t>
      </w: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6600"/>
          <w:sz w:val="28"/>
          <w:szCs w:val="28"/>
        </w:rPr>
      </w:pP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4354">
        <w:rPr>
          <w:rFonts w:ascii="Times New Roman" w:eastAsia="Times New Roman" w:hAnsi="Times New Roman" w:cs="Times New Roman"/>
          <w:color w:val="FF6600"/>
          <w:sz w:val="28"/>
          <w:szCs w:val="28"/>
        </w:rPr>
        <w:tab/>
      </w:r>
      <w:r w:rsidRPr="004D4354">
        <w:rPr>
          <w:rFonts w:ascii="Times New Roman" w:eastAsia="Times New Roman" w:hAnsi="Times New Roman" w:cs="Times New Roman"/>
          <w:sz w:val="28"/>
          <w:szCs w:val="28"/>
        </w:rPr>
        <w:t>В целях исполнения постановления Правительства Свердловской облас</w:t>
      </w:r>
      <w:r>
        <w:rPr>
          <w:rFonts w:ascii="Times New Roman" w:eastAsia="Times New Roman" w:hAnsi="Times New Roman" w:cs="Times New Roman"/>
          <w:sz w:val="28"/>
          <w:szCs w:val="28"/>
        </w:rPr>
        <w:t>ти от 12 апреля 2013 года № 485-</w:t>
      </w:r>
      <w:r w:rsidRPr="004D4354">
        <w:rPr>
          <w:rFonts w:ascii="Times New Roman" w:eastAsia="Times New Roman" w:hAnsi="Times New Roman" w:cs="Times New Roman"/>
          <w:sz w:val="28"/>
          <w:szCs w:val="28"/>
        </w:rPr>
        <w:t>ПП «О формировании сводного доклада Свердловской области о результатах мониторинга эффективности деятельности органов местного самоуправления городских округов и муниципальных районов, расположенных на территории Свердловской области», постановления Администрации муниципального образования Алапаевское от 21 марта 2013 года № 202 «О формировании доклада главы Администрации муниципального образования Алапаевское о достигнутых значениях показателей для оценки эффективности деятельности органов местного самоуправления за отчетный год и их планируемых значениях на трехлетний период» (с изменениями, внесенными постановлением Администрации муниципального образовани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Алапаевское от 25 марта 2015 года </w:t>
      </w:r>
      <w:r w:rsidRPr="004D4354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4354">
        <w:rPr>
          <w:rFonts w:ascii="Times New Roman" w:eastAsia="Times New Roman" w:hAnsi="Times New Roman" w:cs="Times New Roman"/>
          <w:sz w:val="28"/>
          <w:szCs w:val="28"/>
        </w:rPr>
        <w:t>278),</w:t>
      </w:r>
      <w:r w:rsidRPr="004D4354">
        <w:rPr>
          <w:rFonts w:ascii="Times New Roman" w:eastAsia="Times New Roman" w:hAnsi="Times New Roman" w:cs="Times New Roman"/>
          <w:color w:val="FF6600"/>
          <w:sz w:val="28"/>
          <w:szCs w:val="28"/>
        </w:rPr>
        <w:t xml:space="preserve"> </w:t>
      </w:r>
      <w:r w:rsidRPr="004D4354">
        <w:rPr>
          <w:rFonts w:ascii="Times New Roman" w:eastAsia="Times New Roman" w:hAnsi="Times New Roman" w:cs="Times New Roman"/>
          <w:sz w:val="28"/>
          <w:szCs w:val="28"/>
        </w:rPr>
        <w:t>руководствуясь Уставом муниципального образования Алапаевское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4D4354" w:rsidRP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b/>
          <w:color w:val="FF6600"/>
          <w:sz w:val="28"/>
          <w:szCs w:val="28"/>
        </w:rPr>
      </w:pPr>
    </w:p>
    <w:p w:rsidR="004D4354" w:rsidRP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4354"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ПОСТАНОВЛЯЮ: </w:t>
      </w:r>
    </w:p>
    <w:p w:rsidR="004D4354" w:rsidRP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b/>
          <w:color w:val="FF6600"/>
          <w:sz w:val="28"/>
          <w:szCs w:val="28"/>
        </w:rPr>
      </w:pP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4354">
        <w:rPr>
          <w:rFonts w:ascii="Times New Roman" w:eastAsia="Times New Roman" w:hAnsi="Times New Roman" w:cs="Times New Roman"/>
          <w:color w:val="FF6600"/>
          <w:sz w:val="28"/>
          <w:szCs w:val="28"/>
        </w:rPr>
        <w:tab/>
      </w:r>
      <w:r w:rsidRPr="004D4354">
        <w:rPr>
          <w:rFonts w:ascii="Times New Roman" w:eastAsia="Times New Roman" w:hAnsi="Times New Roman" w:cs="Times New Roman"/>
          <w:sz w:val="28"/>
          <w:szCs w:val="28"/>
        </w:rPr>
        <w:t>1. Утвердить доклад главы Администрации муниципального образования Алапаевское о достигнутых значениях показателей для оценки эффективности деятельности органов местного самоуправления муниципального образования Алапаевское за 2014 год и их планируемых значениях на трехлетний период (далее – Доклад) (прилагается).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4354">
        <w:rPr>
          <w:rFonts w:ascii="Times New Roman" w:eastAsia="Times New Roman" w:hAnsi="Times New Roman" w:cs="Times New Roman"/>
          <w:sz w:val="28"/>
          <w:szCs w:val="28"/>
        </w:rPr>
        <w:tab/>
        <w:t xml:space="preserve">2. Отделу экономики Администрации муниципального образования Алапаевское (М.Г. Егорова) в срок до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D4354">
        <w:rPr>
          <w:rFonts w:ascii="Times New Roman" w:eastAsia="Times New Roman" w:hAnsi="Times New Roman" w:cs="Times New Roman"/>
          <w:sz w:val="28"/>
          <w:szCs w:val="28"/>
        </w:rPr>
        <w:t>1 мая 2015 года: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2.1. Н</w:t>
      </w:r>
      <w:r w:rsidRPr="004D4354">
        <w:rPr>
          <w:rFonts w:ascii="Times New Roman" w:eastAsia="Times New Roman" w:hAnsi="Times New Roman" w:cs="Times New Roman"/>
          <w:sz w:val="28"/>
          <w:szCs w:val="28"/>
        </w:rPr>
        <w:t>аправить Доклад в Пра</w:t>
      </w:r>
      <w:r>
        <w:rPr>
          <w:rFonts w:ascii="Times New Roman" w:eastAsia="Times New Roman" w:hAnsi="Times New Roman" w:cs="Times New Roman"/>
          <w:sz w:val="28"/>
          <w:szCs w:val="28"/>
        </w:rPr>
        <w:t>вительство Свердловской области.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4354">
        <w:rPr>
          <w:rFonts w:ascii="Times New Roman" w:eastAsia="Times New Roman" w:hAnsi="Times New Roman" w:cs="Times New Roman"/>
          <w:color w:val="FF66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2.2. Н</w:t>
      </w:r>
      <w:r w:rsidRPr="004D4354">
        <w:rPr>
          <w:rFonts w:ascii="Times New Roman" w:eastAsia="Times New Roman" w:hAnsi="Times New Roman" w:cs="Times New Roman"/>
          <w:sz w:val="28"/>
          <w:szCs w:val="28"/>
        </w:rPr>
        <w:t xml:space="preserve">аправить Доклад в организационный отдел Администрации муниципального образования Алапаевское для размещения в сети Интернет на официальном сайте муниципального образования Алапаевское. </w:t>
      </w:r>
    </w:p>
    <w:p w:rsidR="004D4354" w:rsidRPr="004D4354" w:rsidRDefault="004D4354" w:rsidP="004D4354">
      <w:pPr>
        <w:spacing w:after="0" w:line="240" w:lineRule="auto"/>
        <w:ind w:right="-5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4354">
        <w:rPr>
          <w:rFonts w:ascii="Times New Roman" w:eastAsia="Times New Roman" w:hAnsi="Times New Roman" w:cs="Times New Roman"/>
          <w:sz w:val="28"/>
          <w:szCs w:val="28"/>
        </w:rPr>
        <w:t>3. Организационному отделу Администрации муниципальног</w:t>
      </w:r>
      <w:r>
        <w:rPr>
          <w:rFonts w:ascii="Times New Roman" w:eastAsia="Times New Roman" w:hAnsi="Times New Roman" w:cs="Times New Roman"/>
          <w:sz w:val="28"/>
          <w:szCs w:val="28"/>
        </w:rPr>
        <w:t>о образования Алапаевское (А.А.</w:t>
      </w:r>
      <w:r w:rsidRPr="004D4354">
        <w:rPr>
          <w:rFonts w:ascii="Times New Roman" w:eastAsia="Times New Roman" w:hAnsi="Times New Roman" w:cs="Times New Roman"/>
          <w:sz w:val="28"/>
          <w:szCs w:val="28"/>
        </w:rPr>
        <w:t>Зорихина) разместить Доклад в сети Интернет на официальном сайте муниципального образования Алапаевское до 01 мая 2015 года.</w:t>
      </w:r>
    </w:p>
    <w:p w:rsidR="004D4354" w:rsidRPr="004D4354" w:rsidRDefault="004D4354" w:rsidP="004D4354">
      <w:pPr>
        <w:spacing w:after="0" w:line="240" w:lineRule="auto"/>
        <w:ind w:right="-5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4354">
        <w:rPr>
          <w:rFonts w:ascii="Times New Roman" w:eastAsia="Times New Roman" w:hAnsi="Times New Roman" w:cs="Times New Roman"/>
          <w:sz w:val="28"/>
          <w:szCs w:val="28"/>
        </w:rPr>
        <w:t>4. Руководителям отраслевого и функционального органа, структурных подразделений Администраций муниципального образования Алапаевское, бюджетных и казенных учреждений муниципального образования Алапаевское обеспечить выполнение планируемых значений показателей для оценки эффективности деятельности органов местного самоуправления муниципального образования Алапаевское в 2015 году.</w:t>
      </w:r>
    </w:p>
    <w:p w:rsidR="004D4354" w:rsidRPr="004D4354" w:rsidRDefault="004D4354" w:rsidP="004D4354">
      <w:pPr>
        <w:spacing w:after="0" w:line="240" w:lineRule="auto"/>
        <w:ind w:right="-5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4354">
        <w:rPr>
          <w:rFonts w:ascii="Times New Roman" w:eastAsia="Times New Roman" w:hAnsi="Times New Roman" w:cs="Times New Roman"/>
          <w:sz w:val="28"/>
          <w:szCs w:val="28"/>
        </w:rPr>
        <w:t>5. Постановление Администрации муниципального образования Алапаевское от 28 апреля 2014 года № 371 «Об утверждении доклада главы Администрации муниципального образования Алапаевское о достигнутых значениях показателей для оценки эффективности деятельности органов местного самоуправления муниципального образования Алапаевское за 2013 год и их планируемых значениях на трехлетний период» считать утратившим силу.</w:t>
      </w:r>
    </w:p>
    <w:p w:rsidR="004D4354" w:rsidRPr="004D4354" w:rsidRDefault="004D4354" w:rsidP="004D4354">
      <w:pPr>
        <w:spacing w:after="0" w:line="240" w:lineRule="auto"/>
        <w:ind w:right="-5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4354">
        <w:rPr>
          <w:rFonts w:ascii="Times New Roman" w:eastAsia="Times New Roman" w:hAnsi="Times New Roman" w:cs="Times New Roman"/>
          <w:sz w:val="28"/>
          <w:szCs w:val="28"/>
        </w:rPr>
        <w:t>6. Конт</w:t>
      </w:r>
      <w:r>
        <w:rPr>
          <w:rFonts w:ascii="Times New Roman" w:eastAsia="Times New Roman" w:hAnsi="Times New Roman" w:cs="Times New Roman"/>
          <w:sz w:val="28"/>
          <w:szCs w:val="28"/>
        </w:rPr>
        <w:t>роль за исполнением настоящего п</w:t>
      </w:r>
      <w:r w:rsidRPr="004D4354">
        <w:rPr>
          <w:rFonts w:ascii="Times New Roman" w:eastAsia="Times New Roman" w:hAnsi="Times New Roman" w:cs="Times New Roman"/>
          <w:sz w:val="28"/>
          <w:szCs w:val="28"/>
        </w:rPr>
        <w:t>остановления возложить на главу Администрации муниципального образования Алапаевское.</w:t>
      </w:r>
    </w:p>
    <w:p w:rsidR="004D4354" w:rsidRPr="004D4354" w:rsidRDefault="004D4354" w:rsidP="004D4354">
      <w:pPr>
        <w:spacing w:after="0" w:line="240" w:lineRule="auto"/>
        <w:ind w:right="-5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4354" w:rsidRPr="004D4354" w:rsidRDefault="004D4354" w:rsidP="004D4354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color w:val="FF6600"/>
          <w:sz w:val="28"/>
          <w:szCs w:val="28"/>
        </w:rPr>
      </w:pPr>
    </w:p>
    <w:p w:rsidR="004D4354" w:rsidRPr="004D4354" w:rsidRDefault="004D4354" w:rsidP="004D4354">
      <w:pPr>
        <w:spacing w:after="0" w:line="240" w:lineRule="auto"/>
        <w:ind w:right="-54" w:firstLine="708"/>
        <w:jc w:val="both"/>
        <w:rPr>
          <w:rFonts w:ascii="Times New Roman" w:eastAsia="Times New Roman" w:hAnsi="Times New Roman" w:cs="Times New Roman"/>
          <w:color w:val="FF6600"/>
          <w:sz w:val="28"/>
          <w:szCs w:val="28"/>
        </w:rPr>
      </w:pPr>
    </w:p>
    <w:p w:rsidR="004D4354" w:rsidRP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4354" w:rsidRP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354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4D4354" w:rsidRP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35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5802B8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8"/>
          <w:szCs w:val="28"/>
        </w:rPr>
        <w:t xml:space="preserve">Алапаевское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4D435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К.И.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4354">
        <w:rPr>
          <w:rFonts w:ascii="Times New Roman" w:eastAsia="Times New Roman" w:hAnsi="Times New Roman" w:cs="Times New Roman"/>
          <w:sz w:val="28"/>
          <w:szCs w:val="28"/>
        </w:rPr>
        <w:t xml:space="preserve">Деев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51DE8" w:rsidRDefault="00651DE8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51DE8" w:rsidRDefault="00651DE8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51DE8" w:rsidRDefault="00651DE8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УТВЕРЖДЕН</w:t>
      </w:r>
    </w:p>
    <w:p w:rsidR="004D4354" w:rsidRPr="004D4354" w:rsidRDefault="004D4354" w:rsidP="004D4354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4D4354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:rsidR="004D4354" w:rsidRPr="004D4354" w:rsidRDefault="004D4354" w:rsidP="004D4354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4D435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4D4354" w:rsidRPr="004D4354" w:rsidRDefault="004D4354" w:rsidP="004D4354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4D4354">
        <w:rPr>
          <w:rFonts w:ascii="Times New Roman" w:eastAsia="Times New Roman" w:hAnsi="Times New Roman" w:cs="Times New Roman"/>
          <w:sz w:val="28"/>
          <w:szCs w:val="28"/>
        </w:rPr>
        <w:t>Алапаевское</w:t>
      </w:r>
    </w:p>
    <w:p w:rsidR="004D4354" w:rsidRPr="004D4354" w:rsidRDefault="004D4354" w:rsidP="004D4354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29 апреля 2015 года</w:t>
      </w:r>
      <w:r w:rsidRPr="004D4354">
        <w:rPr>
          <w:rFonts w:ascii="Times New Roman" w:eastAsia="Times New Roman" w:hAnsi="Times New Roman" w:cs="Times New Roman"/>
          <w:sz w:val="28"/>
          <w:szCs w:val="28"/>
        </w:rPr>
        <w:t xml:space="preserve"> № 419 </w:t>
      </w:r>
    </w:p>
    <w:p w:rsidR="004D4354" w:rsidRPr="004D4354" w:rsidRDefault="004D4354" w:rsidP="004D435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  <w:t xml:space="preserve"> </w:t>
      </w: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4354">
        <w:rPr>
          <w:rFonts w:ascii="Times New Roman" w:eastAsia="Times New Roman" w:hAnsi="Times New Roman" w:cs="Times New Roman"/>
          <w:b/>
          <w:sz w:val="28"/>
          <w:szCs w:val="28"/>
        </w:rPr>
        <w:t>ДОКЛАД</w:t>
      </w: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4354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главы Администрации </w:t>
      </w: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Pr="004D4354">
        <w:rPr>
          <w:rFonts w:ascii="Times New Roman" w:eastAsia="Times New Roman" w:hAnsi="Times New Roman" w:cs="Times New Roman"/>
          <w:b/>
          <w:sz w:val="28"/>
          <w:szCs w:val="28"/>
        </w:rPr>
        <w:t>Алапаевское</w:t>
      </w: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4354">
        <w:rPr>
          <w:rFonts w:ascii="Times New Roman" w:eastAsia="Times New Roman" w:hAnsi="Times New Roman" w:cs="Times New Roman"/>
          <w:b/>
          <w:sz w:val="28"/>
          <w:szCs w:val="28"/>
        </w:rPr>
        <w:t xml:space="preserve">о достигнутых значениях показателей </w:t>
      </w: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4354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оценки эффективности деятельности </w:t>
      </w: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4354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органов местного самоуправления </w:t>
      </w: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4354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 Алапаевское</w:t>
      </w: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4354">
        <w:rPr>
          <w:rFonts w:ascii="Times New Roman" w:eastAsia="Times New Roman" w:hAnsi="Times New Roman" w:cs="Times New Roman"/>
          <w:b/>
          <w:sz w:val="28"/>
          <w:szCs w:val="28"/>
        </w:rPr>
        <w:t xml:space="preserve">за 2014 год </w:t>
      </w: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4354">
        <w:rPr>
          <w:rFonts w:ascii="Times New Roman" w:eastAsia="Times New Roman" w:hAnsi="Times New Roman" w:cs="Times New Roman"/>
          <w:b/>
          <w:sz w:val="28"/>
          <w:szCs w:val="28"/>
        </w:rPr>
        <w:t>и их планируемых значениях на 3-летний период</w:t>
      </w: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651DE8" w:rsidRPr="004D4354" w:rsidRDefault="00651DE8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Введение …………………………………………………………………………………...…....3 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Раздел 1.  Экономическое </w:t>
      </w:r>
      <w:r w:rsidR="0028160B">
        <w:rPr>
          <w:rFonts w:ascii="Times New Roman" w:eastAsia="Times New Roman" w:hAnsi="Times New Roman" w:cs="Times New Roman"/>
          <w:sz w:val="24"/>
          <w:szCs w:val="24"/>
        </w:rPr>
        <w:t>развитие……………………………………………………………7</w:t>
      </w:r>
    </w:p>
    <w:p w:rsidR="004D4354" w:rsidRP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Раздел 2.  Дошкольное образ</w:t>
      </w:r>
      <w:r w:rsidR="0028160B">
        <w:rPr>
          <w:rFonts w:ascii="Times New Roman" w:eastAsia="Times New Roman" w:hAnsi="Times New Roman" w:cs="Times New Roman"/>
          <w:sz w:val="24"/>
          <w:szCs w:val="24"/>
        </w:rPr>
        <w:t>ование ………………………….………………………………13</w:t>
      </w:r>
    </w:p>
    <w:p w:rsidR="004D4354" w:rsidRP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Раздел 3. Общее и дополнительное образ</w:t>
      </w:r>
      <w:r w:rsidR="0028160B">
        <w:rPr>
          <w:rFonts w:ascii="Times New Roman" w:eastAsia="Times New Roman" w:hAnsi="Times New Roman" w:cs="Times New Roman"/>
          <w:sz w:val="24"/>
          <w:szCs w:val="24"/>
        </w:rPr>
        <w:t>ование……………………………………….........14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Раздел 4.  Культура…………</w:t>
      </w:r>
      <w:r w:rsidR="0028160B">
        <w:rPr>
          <w:rFonts w:ascii="Times New Roman" w:eastAsia="Times New Roman" w:hAnsi="Times New Roman" w:cs="Times New Roman"/>
          <w:sz w:val="24"/>
          <w:szCs w:val="24"/>
        </w:rPr>
        <w:t>…………..………………………………………….…….……..18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Раздел 5.  Физическая культура и</w:t>
      </w:r>
      <w:r w:rsidR="0028160B">
        <w:rPr>
          <w:rFonts w:ascii="Times New Roman" w:eastAsia="Times New Roman" w:hAnsi="Times New Roman" w:cs="Times New Roman"/>
          <w:sz w:val="24"/>
          <w:szCs w:val="24"/>
        </w:rPr>
        <w:t xml:space="preserve"> спорт……………………………….………………..…….19</w:t>
      </w:r>
    </w:p>
    <w:p w:rsidR="004D4354" w:rsidRP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Раздел 6. Жилищное строительство и обеспече</w:t>
      </w:r>
      <w:r w:rsidR="0028160B">
        <w:rPr>
          <w:rFonts w:ascii="Times New Roman" w:eastAsia="Times New Roman" w:hAnsi="Times New Roman" w:cs="Times New Roman"/>
          <w:sz w:val="24"/>
          <w:szCs w:val="24"/>
        </w:rPr>
        <w:t>ние граждан жильем……………………....22</w:t>
      </w:r>
    </w:p>
    <w:p w:rsidR="004D4354" w:rsidRP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Раздел 7.  Жилищно-коммунально</w:t>
      </w:r>
      <w:r w:rsidR="0028160B">
        <w:rPr>
          <w:rFonts w:ascii="Times New Roman" w:eastAsia="Times New Roman" w:hAnsi="Times New Roman" w:cs="Times New Roman"/>
          <w:sz w:val="24"/>
          <w:szCs w:val="24"/>
        </w:rPr>
        <w:t>е хозяйство………………………………………….……22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Раздел 8.  Организация муниципально</w:t>
      </w:r>
      <w:r w:rsidR="0028160B">
        <w:rPr>
          <w:rFonts w:ascii="Times New Roman" w:eastAsia="Times New Roman" w:hAnsi="Times New Roman" w:cs="Times New Roman"/>
          <w:sz w:val="24"/>
          <w:szCs w:val="24"/>
        </w:rPr>
        <w:t>го управления………………………………………..26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Раздел 9.  Энергосбережение и повышение</w:t>
      </w:r>
      <w:r w:rsidR="0028160B">
        <w:rPr>
          <w:rFonts w:ascii="Times New Roman" w:eastAsia="Times New Roman" w:hAnsi="Times New Roman" w:cs="Times New Roman"/>
          <w:sz w:val="24"/>
          <w:szCs w:val="24"/>
        </w:rPr>
        <w:t xml:space="preserve"> энергоэффективности…………………………28</w:t>
      </w:r>
      <w:bookmarkStart w:id="0" w:name="_GoBack"/>
      <w:bookmarkEnd w:id="0"/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Введение</w:t>
      </w: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Pr="004D4354" w:rsidRDefault="00651DE8" w:rsidP="004D43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Настоящий доклад главы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Администрации муниципального образования Алапаевское подготовлен во исполнение Указа Президента Российской Федерации от 14 октября 2012 года № 1384 «О внесении изменений в Указ Президента Российск</w:t>
      </w:r>
      <w:r w:rsidR="004D4354">
        <w:rPr>
          <w:rFonts w:ascii="Times New Roman" w:eastAsia="Times New Roman" w:hAnsi="Times New Roman" w:cs="Times New Roman"/>
          <w:sz w:val="24"/>
          <w:szCs w:val="24"/>
        </w:rPr>
        <w:t>ой Федерации от 28 апреля 2008 года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 № 607 «Об оценке эффективности деятельности органов местного самоуправления городских округов и муниципальных районов» и</w:t>
      </w:r>
      <w:r w:rsidR="004D4354">
        <w:rPr>
          <w:rFonts w:ascii="Times New Roman" w:eastAsia="Times New Roman" w:hAnsi="Times New Roman" w:cs="Times New Roman"/>
          <w:sz w:val="24"/>
          <w:szCs w:val="24"/>
        </w:rPr>
        <w:t xml:space="preserve"> в перечень, утвержденный этим У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казом», постановления Правительства Российской Федерации о</w:t>
      </w:r>
      <w:r w:rsidR="004D4354">
        <w:rPr>
          <w:rFonts w:ascii="Times New Roman" w:eastAsia="Times New Roman" w:hAnsi="Times New Roman" w:cs="Times New Roman"/>
          <w:sz w:val="24"/>
          <w:szCs w:val="24"/>
        </w:rPr>
        <w:t>т 17 декабря 2012 года № 1317-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ПП «О мерах по реализации Указа Президента Российск</w:t>
      </w:r>
      <w:r w:rsidR="004D4354">
        <w:rPr>
          <w:rFonts w:ascii="Times New Roman" w:eastAsia="Times New Roman" w:hAnsi="Times New Roman" w:cs="Times New Roman"/>
          <w:sz w:val="24"/>
          <w:szCs w:val="24"/>
        </w:rPr>
        <w:t>ой Федерации от 28 апреля 2008 года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 № 607 «Об оценке эффективности деятельности органов местного самоуправления городских округов и муниципальных районов» и подпункта «и» пункта 2 Указа Президента Росси</w:t>
      </w:r>
      <w:r w:rsidR="004D4354">
        <w:rPr>
          <w:rFonts w:ascii="Times New Roman" w:eastAsia="Times New Roman" w:hAnsi="Times New Roman" w:cs="Times New Roman"/>
          <w:sz w:val="24"/>
          <w:szCs w:val="24"/>
        </w:rPr>
        <w:t>йской Федерации от 07 мая 2012 года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 № 601 «Об основных направлениях совершенствования системы государственного управления», Указа Губернатора Свердловской области о</w:t>
      </w:r>
      <w:r w:rsidR="004D4354">
        <w:rPr>
          <w:rFonts w:ascii="Times New Roman" w:eastAsia="Times New Roman" w:hAnsi="Times New Roman" w:cs="Times New Roman"/>
          <w:sz w:val="24"/>
          <w:szCs w:val="24"/>
        </w:rPr>
        <w:t>т 29 декабря 2012 года  № 1005-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УГ «О внесении изменений в Указ Губернатора Свердловской облас</w:t>
      </w:r>
      <w:r w:rsidR="004D4354">
        <w:rPr>
          <w:rFonts w:ascii="Times New Roman" w:eastAsia="Times New Roman" w:hAnsi="Times New Roman" w:cs="Times New Roman"/>
          <w:sz w:val="24"/>
          <w:szCs w:val="24"/>
        </w:rPr>
        <w:t>ти от 12 июля 2008 года № 817-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УГ «О мерах по реализации Указа Президента Российской Федерации от 28 апреля 2008 года № 607 «Об оценке эффективности деятельности органов местного самоуправления городских округов и муниципальных районов»,  в целях реализации положений Федерального закона от </w:t>
      </w:r>
      <w:r w:rsidR="004D4354">
        <w:rPr>
          <w:rFonts w:ascii="Times New Roman" w:eastAsia="Times New Roman" w:hAnsi="Times New Roman" w:cs="Times New Roman"/>
          <w:sz w:val="24"/>
          <w:szCs w:val="24"/>
        </w:rPr>
        <w:t>0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6 октября 2003 года №</w:t>
      </w:r>
      <w:r w:rsidR="004D43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131-ФЗ «Об общих принципах организации местного самоуправления в Российской Федерации»,</w:t>
      </w:r>
      <w:r w:rsidR="004D4354"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="004D435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остановления Администрации муниципального образования Алапаевское от 21 марта 2013 года № 202 «О формировании доклада главы Администрации муницип</w:t>
      </w:r>
      <w:r w:rsidR="0028160B">
        <w:rPr>
          <w:rFonts w:ascii="Times New Roman" w:eastAsia="Times New Roman" w:hAnsi="Times New Roman" w:cs="Times New Roman"/>
          <w:sz w:val="24"/>
          <w:szCs w:val="24"/>
        </w:rPr>
        <w:t>ального образования Алапаевское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 о достигнутых значениях показателей для оценки эффективности деятельности органов местного самоуправления за отчетный го</w:t>
      </w:r>
      <w:r w:rsidR="0028160B">
        <w:rPr>
          <w:rFonts w:ascii="Times New Roman" w:eastAsia="Times New Roman" w:hAnsi="Times New Roman" w:cs="Times New Roman"/>
          <w:sz w:val="24"/>
          <w:szCs w:val="24"/>
        </w:rPr>
        <w:t>д и их планируемых значениях на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 3-х летний период» (с изменениями, внесенными постановлением Администрации муниципального образовани</w:t>
      </w:r>
      <w:r w:rsidR="004D4354">
        <w:rPr>
          <w:rFonts w:ascii="Times New Roman" w:eastAsia="Times New Roman" w:hAnsi="Times New Roman" w:cs="Times New Roman"/>
          <w:sz w:val="24"/>
          <w:szCs w:val="24"/>
        </w:rPr>
        <w:t>я Алапаевское от 25 марта 2015 года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4D43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278).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Цель доклада главы Администрации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Алапаевское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- оценка эффективности расходования бюджетных средств, динамики изменения показателей, характеризующих качество жизни населения, уровня социально-экономического развития муниципального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Алапаевское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, степени внедрения методов и принципов управления, обеспечивающих переход к более результативным моделям муниципального управления.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Анализ динамики изменения достигнутых показателей эффективности деятельности органов местного самоуправления позволяет определить направления, требующие приоритетного внимания, сформировать перечень мероприятий по повышению  эффективности деятельности органов местного самоуправления, в том числе по снижению неэффективных расходов, а также выявить внутренние ресурсы (финансовые, материально-технические, кадровые и другие) для повышения качества и объема предоставляемых населению услуг и увеличения заработной платы работников бюджетной сферы.</w:t>
      </w:r>
    </w:p>
    <w:p w:rsidR="004D4354" w:rsidRPr="004D4354" w:rsidRDefault="004D4354" w:rsidP="004D43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муниципального образования Алапаевское</w:t>
      </w:r>
    </w:p>
    <w:p w:rsidR="004D4354" w:rsidRPr="004D4354" w:rsidRDefault="004D4354" w:rsidP="004D43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Законом Свердловской области от 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9 июня 2008 года № 29-ОЗ «О внесении изменений в Закон Свердловской области «О границах муниципальных образований, расположенных на территории Свердловской области» (с изменениями, внесенными Законом Свердловской области от 15 июня 2009 года № 33-ОЗ)  установлены границы муниципального образования, в состав территории которого входит рабочий поселок Верхняя Синячиха.</w:t>
      </w:r>
    </w:p>
    <w:p w:rsidR="004D4354" w:rsidRPr="004D4354" w:rsidRDefault="004D4354" w:rsidP="004D43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lastRenderedPageBreak/>
        <w:t>Решением Думы муниципального образования, в состав территории которого входит рабочий поселок  Верхняя Синячиха, от 28 ноября 2008 года № 67 принят Устав муниципального образования и название «Муниципальное образование Алапаевское».</w:t>
      </w:r>
    </w:p>
    <w:p w:rsidR="004D4354" w:rsidRPr="004D4354" w:rsidRDefault="004D4354" w:rsidP="004D43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Муниципальное образование Алапаевское включено в государственный реестр муниципальных образований 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оссийской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sz w:val="24"/>
          <w:szCs w:val="24"/>
        </w:rPr>
        <w:t>едерации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27 января 2009 года, свидетельство № </w:t>
      </w:r>
      <w:r w:rsidRPr="004D4354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66394000.  </w:t>
      </w:r>
    </w:p>
    <w:p w:rsidR="004D4354" w:rsidRPr="004D4354" w:rsidRDefault="004D4354" w:rsidP="004D43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Муниципальное образование Алапаевское расположено на восточном склоне Среднего Урала, на рубеже двух физико-географических районов: Зауральской равнины и Западно-Сиб</w:t>
      </w:r>
      <w:r w:rsidR="00344D88">
        <w:rPr>
          <w:rFonts w:ascii="Times New Roman" w:eastAsia="Times New Roman" w:hAnsi="Times New Roman" w:cs="Times New Roman"/>
          <w:sz w:val="24"/>
          <w:szCs w:val="24"/>
        </w:rPr>
        <w:t>ирской низменности. Территория м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униципального образования </w:t>
      </w:r>
      <w:r w:rsidR="00344D88">
        <w:rPr>
          <w:rFonts w:ascii="Times New Roman" w:eastAsia="Times New Roman" w:hAnsi="Times New Roman" w:cs="Times New Roman"/>
          <w:sz w:val="24"/>
          <w:szCs w:val="24"/>
        </w:rPr>
        <w:t xml:space="preserve">Алапаевское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составляет 5100 кв. км, протяженностью с запада на восток 120 км, с юга на север - 78 км и граничит с Режевским, Пригородным, Верхнесалдинским, Нижнесалдинским, Туринским, Ирбитским и Артемовским районами и Махневским муницип</w:t>
      </w:r>
      <w:r w:rsidR="00344D88">
        <w:rPr>
          <w:rFonts w:ascii="Times New Roman" w:eastAsia="Times New Roman" w:hAnsi="Times New Roman" w:cs="Times New Roman"/>
          <w:sz w:val="24"/>
          <w:szCs w:val="24"/>
        </w:rPr>
        <w:t>альным образованием. В составе м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униципального образования </w:t>
      </w:r>
      <w:r w:rsidR="00344D88">
        <w:rPr>
          <w:rFonts w:ascii="Times New Roman" w:eastAsia="Times New Roman" w:hAnsi="Times New Roman" w:cs="Times New Roman"/>
          <w:sz w:val="24"/>
          <w:szCs w:val="24"/>
        </w:rPr>
        <w:t xml:space="preserve">Алапаевское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73 населенных пункта, в которых проживает 25,3 тысячи</w:t>
      </w:r>
      <w:r w:rsidR="00344D88">
        <w:rPr>
          <w:rFonts w:ascii="Times New Roman" w:eastAsia="Times New Roman" w:hAnsi="Times New Roman" w:cs="Times New Roman"/>
          <w:sz w:val="24"/>
          <w:szCs w:val="24"/>
        </w:rPr>
        <w:t xml:space="preserve"> человек (по состоянию на 01 января 2015 года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), в том числе в рабочем поселке Верхняя Синячиха 9,8 тыс. человек.</w:t>
      </w:r>
    </w:p>
    <w:p w:rsidR="004D4354" w:rsidRPr="004D4354" w:rsidRDefault="004D4354" w:rsidP="004D43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муниципального образования Алапаевское в 2014 году работало  </w:t>
      </w:r>
      <w:r w:rsidR="00344D88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3 крупных промышленных обрабатывающих предприятия: ОАО «Фанком» (обработка древесины и производство изделий из дерева), ЗАО «Верхнесинячихинский лесохимический завод» (химическое производство), ООО «Алапаевский молочный комбинат» (производство пищевых продуктов, включая напитки). Начал работать </w:t>
      </w:r>
      <w:r w:rsidR="00344D88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ООО «Литой элемент Верхнесинячихинский металлургический завод» (металлическое производство и производство готовых металлических изделий).</w:t>
      </w:r>
    </w:p>
    <w:p w:rsidR="004D4354" w:rsidRPr="004D4354" w:rsidRDefault="004D4354" w:rsidP="004D43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Сельскохозяйственную деятельность осуществляли 8 сельскохозяйственных предприятий: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СПК «Колхоз им. Чапаева», СХПК «Путиловский», СХПК «Пламя», </w:t>
      </w:r>
      <w:r w:rsidR="00344D88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ООО «Деевское», ООО «Агрофирма АрКо»,  ООО «Ямовский», ООО «Майский»,  </w:t>
      </w:r>
      <w:r w:rsidR="00344D88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ООО «Долина роз»;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работали 25 крестьянско-фермерских хозяйств;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1 сельскохозяйственный потребительский кооператив.</w:t>
      </w:r>
    </w:p>
    <w:p w:rsidR="004D4354" w:rsidRPr="004D4354" w:rsidRDefault="004D4354" w:rsidP="004D4354">
      <w:pPr>
        <w:shd w:val="clear" w:color="auto" w:fill="FFFFFF"/>
        <w:spacing w:after="0" w:line="240" w:lineRule="auto"/>
        <w:ind w:right="198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На</w:t>
      </w:r>
      <w:r w:rsidRPr="004D4354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территории муниципального образования </w:t>
      </w:r>
      <w:r w:rsidR="00344D88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Алапаевское </w:t>
      </w:r>
      <w:r w:rsidRPr="004D4354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работают три му</w:t>
      </w:r>
      <w:r w:rsidRPr="004D4354">
        <w:rPr>
          <w:rFonts w:ascii="Times New Roman" w:eastAsia="Times New Roman" w:hAnsi="Times New Roman" w:cs="Times New Roman"/>
          <w:bCs/>
          <w:sz w:val="24"/>
          <w:szCs w:val="24"/>
        </w:rPr>
        <w:t>ниципальных унитарных предприятия:</w:t>
      </w:r>
    </w:p>
    <w:p w:rsidR="004D4354" w:rsidRPr="004D4354" w:rsidRDefault="00344D88" w:rsidP="004D4354">
      <w:pPr>
        <w:shd w:val="clear" w:color="auto" w:fill="FFFFFF"/>
        <w:spacing w:after="0" w:line="240" w:lineRule="auto"/>
        <w:ind w:right="198" w:firstLine="709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МУП «АУЖД» муниципального образования</w:t>
      </w:r>
      <w:r w:rsidR="004D4354" w:rsidRPr="004D4354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Алапаевское», оказывающее услуги по перевозке пассажиров железнодорожным транспортом на территории  Алапаевского района;</w:t>
      </w:r>
    </w:p>
    <w:p w:rsidR="004D4354" w:rsidRPr="004D4354" w:rsidRDefault="004D4354" w:rsidP="004D4354">
      <w:pPr>
        <w:shd w:val="clear" w:color="auto" w:fill="FFFFFF"/>
        <w:spacing w:after="0" w:line="240" w:lineRule="auto"/>
        <w:ind w:right="198" w:firstLine="709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МУП «Аптека № 180» р.п. Верхняя Синячиха, оказывающее услуги по лекарственному обеспечению жителей муниципального образования</w:t>
      </w:r>
      <w:r w:rsidR="00344D8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Алапаевское</w:t>
      </w:r>
      <w:r w:rsidRPr="004D4354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;</w:t>
      </w:r>
    </w:p>
    <w:p w:rsidR="004D4354" w:rsidRPr="004D4354" w:rsidRDefault="004D4354" w:rsidP="004D43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Cs/>
          <w:sz w:val="24"/>
          <w:szCs w:val="24"/>
        </w:rPr>
        <w:t>МУП «Коммунальные системы» осуществляет управление эксплуатацией жилого фонда; удаление и обработку  сточных вод; сбор и обработку прочих отходов; сбор, очистку и распределение воды.</w:t>
      </w:r>
    </w:p>
    <w:p w:rsidR="004D4354" w:rsidRPr="004D4354" w:rsidRDefault="00344D88" w:rsidP="004D43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Территория м</w:t>
      </w:r>
      <w:r w:rsidR="004D4354" w:rsidRPr="004D4354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униципального образования Алапаевское газифицирована. </w:t>
      </w:r>
      <w:r w:rsidR="004D4354" w:rsidRPr="004D4354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Протяженность межпоселковых газопроводов составляет 98 километров, подводящих газопроводов 1,9 километров. </w:t>
      </w:r>
    </w:p>
    <w:p w:rsidR="004D4354" w:rsidRPr="004D4354" w:rsidRDefault="004D4354" w:rsidP="004D43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На территории населенных пунктов установлено 12 блочных газовых </w:t>
      </w:r>
      <w:r w:rsidRPr="004D4354">
        <w:rPr>
          <w:rFonts w:ascii="Times New Roman" w:eastAsia="Times New Roman" w:hAnsi="Times New Roman" w:cs="Times New Roman"/>
          <w:bCs/>
          <w:sz w:val="24"/>
          <w:szCs w:val="24"/>
        </w:rPr>
        <w:t xml:space="preserve">котельных: в </w:t>
      </w:r>
      <w:r w:rsidR="00344D8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Pr="004D4354">
        <w:rPr>
          <w:rFonts w:ascii="Times New Roman" w:eastAsia="Times New Roman" w:hAnsi="Times New Roman" w:cs="Times New Roman"/>
          <w:bCs/>
          <w:sz w:val="24"/>
          <w:szCs w:val="24"/>
        </w:rPr>
        <w:t>с. Костино - 2, с.</w:t>
      </w:r>
      <w:r w:rsidR="00344D8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bCs/>
          <w:sz w:val="24"/>
          <w:szCs w:val="24"/>
        </w:rPr>
        <w:t>Арамашево - 2, с.</w:t>
      </w:r>
      <w:r w:rsidR="00344D8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bCs/>
          <w:sz w:val="24"/>
          <w:szCs w:val="24"/>
        </w:rPr>
        <w:t>Коптелово -1, п. Курорт-Самоцвет - 2, п. Бубчиково – 1, п. Заря – 1, р.п. Верхняя Синячиха – 3 (</w:t>
      </w:r>
      <w:r w:rsidRPr="004D4354"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 xml:space="preserve">ОАО «Фанком», </w:t>
      </w:r>
      <w:r w:rsidRPr="004D4354">
        <w:rPr>
          <w:rFonts w:ascii="Times New Roman" w:eastAsia="Times New Roman" w:hAnsi="Times New Roman" w:cs="Times New Roman"/>
          <w:bCs/>
          <w:sz w:val="24"/>
          <w:szCs w:val="24"/>
        </w:rPr>
        <w:t xml:space="preserve"> ОАО «Облкоммунэнерго», </w:t>
      </w:r>
      <w:r w:rsidR="00344D8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</w:t>
      </w:r>
      <w:r w:rsidRPr="004D4354">
        <w:rPr>
          <w:rFonts w:ascii="Times New Roman" w:eastAsia="Times New Roman" w:hAnsi="Times New Roman" w:cs="Times New Roman"/>
          <w:bCs/>
          <w:sz w:val="24"/>
          <w:szCs w:val="24"/>
        </w:rPr>
        <w:t>МОУ «Верхнесинячихинская средняя общеобразовательная школа № 2»).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</w:p>
    <w:p w:rsidR="004D4354" w:rsidRPr="004D4354" w:rsidRDefault="004D4354" w:rsidP="004D4354">
      <w:pPr>
        <w:shd w:val="clear" w:color="auto" w:fill="FFFFFF"/>
        <w:spacing w:after="0" w:line="240" w:lineRule="auto"/>
        <w:ind w:right="198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241  предприятие торговли, 41 предприятие общественного питания </w:t>
      </w:r>
      <w:r w:rsidRPr="004D4354">
        <w:rPr>
          <w:rFonts w:ascii="Times New Roman" w:eastAsia="Times New Roman" w:hAnsi="Times New Roman" w:cs="Times New Roman"/>
          <w:bCs/>
          <w:sz w:val="24"/>
          <w:szCs w:val="24"/>
        </w:rPr>
        <w:t>обеспечивают население торговым обслуживанием и услугами общественного питания.</w:t>
      </w:r>
    </w:p>
    <w:p w:rsidR="004D4354" w:rsidRPr="00344D88" w:rsidRDefault="004D4354" w:rsidP="00344D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На территории муниципально</w:t>
      </w:r>
      <w:r w:rsidR="00344D88">
        <w:rPr>
          <w:rFonts w:ascii="Times New Roman" w:eastAsia="Times New Roman" w:hAnsi="Times New Roman" w:cs="Times New Roman"/>
          <w:sz w:val="24"/>
          <w:szCs w:val="24"/>
        </w:rPr>
        <w:t>го образования Алапаевское работает                        климато-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грязевый санаторий «Самоцвет» - первый уральский курорт европейского уровня. Основной лечебный фактор санатория - сопропелевая грязь озера «Молтаево». В 2003 году по проекту холдинговой компании  «Лидер» здравница пережила второе рождение.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755F7" w:rsidRDefault="004D4354" w:rsidP="004D435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D4354" w:rsidRPr="004D4354" w:rsidRDefault="004D4354" w:rsidP="004D435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1. Экономическое развитие</w:t>
      </w:r>
    </w:p>
    <w:p w:rsidR="004D4354" w:rsidRPr="004D4354" w:rsidRDefault="004D4354" w:rsidP="004D4354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В муниципальном образовании Алапаевское на </w:t>
      </w:r>
      <w:r w:rsidR="00344D88">
        <w:rPr>
          <w:rFonts w:ascii="Times New Roman" w:eastAsia="Times New Roman" w:hAnsi="Times New Roman" w:cs="Times New Roman"/>
          <w:sz w:val="24"/>
          <w:szCs w:val="24"/>
        </w:rPr>
        <w:t xml:space="preserve">01 января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2015 года осуществляют хозяйственную деятельность  502 субъекта малого и среднего предпринимательства, в том числе 92 малых и средних предприятий   (3- среднее, 8- малых, 81 – микропредприятие),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410 индивидуальных предпринимателей. Занято в сфере малого и среднего предпринимательства 2056 человек, что составляет 22,7 % от  численности занятых в эконо</w:t>
      </w:r>
      <w:r w:rsidR="00344D88">
        <w:rPr>
          <w:rFonts w:ascii="Times New Roman" w:eastAsia="Times New Roman" w:hAnsi="Times New Roman" w:cs="Times New Roman"/>
          <w:sz w:val="24"/>
          <w:szCs w:val="24"/>
        </w:rPr>
        <w:t>мике муниципального образования Алапаевское.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ab/>
        <w:t xml:space="preserve"> </w:t>
      </w:r>
    </w:p>
    <w:p w:rsidR="004D4354" w:rsidRPr="00344D88" w:rsidRDefault="004D4354" w:rsidP="004D435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D88">
        <w:rPr>
          <w:rFonts w:ascii="Times New Roman" w:eastAsia="Times New Roman" w:hAnsi="Times New Roman" w:cs="Times New Roman"/>
          <w:b/>
          <w:sz w:val="24"/>
          <w:szCs w:val="24"/>
        </w:rPr>
        <w:t>Динамика  развития  малого и среднего предпринимательства</w:t>
      </w:r>
    </w:p>
    <w:p w:rsidR="004D4354" w:rsidRPr="004D4354" w:rsidRDefault="004D4354" w:rsidP="00344D8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color w:val="FF6600"/>
          <w:sz w:val="24"/>
          <w:szCs w:val="24"/>
        </w:rPr>
      </w:pPr>
    </w:p>
    <w:tbl>
      <w:tblPr>
        <w:tblW w:w="98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"/>
        <w:gridCol w:w="3927"/>
        <w:gridCol w:w="1405"/>
        <w:gridCol w:w="1376"/>
        <w:gridCol w:w="1353"/>
        <w:gridCol w:w="1336"/>
      </w:tblGrid>
      <w:tr w:rsidR="004D4354" w:rsidRPr="004D4354" w:rsidTr="004D4354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2011год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2014 год</w:t>
            </w:r>
          </w:p>
        </w:tc>
      </w:tr>
      <w:tr w:rsidR="004D4354" w:rsidRPr="004D4354" w:rsidTr="004D4354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4D8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  субъектов, единиц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502</w:t>
            </w:r>
          </w:p>
        </w:tc>
      </w:tr>
      <w:tr w:rsidR="004D4354" w:rsidRPr="004D4354" w:rsidTr="004D4354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44D8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 работающих, человек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1923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2056</w:t>
            </w:r>
          </w:p>
        </w:tc>
      </w:tr>
    </w:tbl>
    <w:p w:rsidR="004D4354" w:rsidRPr="004D4354" w:rsidRDefault="004D4354" w:rsidP="004D435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344D88" w:rsidRDefault="004D4354" w:rsidP="004D435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D88">
        <w:rPr>
          <w:rFonts w:ascii="Times New Roman" w:eastAsia="Times New Roman" w:hAnsi="Times New Roman" w:cs="Times New Roman"/>
          <w:b/>
          <w:sz w:val="24"/>
          <w:szCs w:val="24"/>
        </w:rPr>
        <w:t xml:space="preserve">Доля среднесписочной численности работников малых и средних предприятий в среднесписочной численности работников всех предприятий и организаций </w:t>
      </w:r>
    </w:p>
    <w:p w:rsidR="004D4354" w:rsidRPr="00344D88" w:rsidRDefault="004D4354" w:rsidP="004D435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D88">
        <w:rPr>
          <w:rFonts w:ascii="Times New Roman" w:eastAsia="Times New Roman" w:hAnsi="Times New Roman" w:cs="Times New Roman"/>
          <w:b/>
          <w:sz w:val="24"/>
          <w:szCs w:val="24"/>
        </w:rPr>
        <w:t>(по учитываемому кругу), %</w:t>
      </w:r>
    </w:p>
    <w:p w:rsidR="004D4354" w:rsidRPr="004D4354" w:rsidRDefault="004D4354" w:rsidP="004D435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noProof/>
          <w:color w:val="FF6600"/>
          <w:sz w:val="24"/>
          <w:szCs w:val="24"/>
        </w:rPr>
        <w:drawing>
          <wp:inline distT="0" distB="0" distL="0" distR="0" wp14:anchorId="5A57C7D1" wp14:editId="74997C9B">
            <wp:extent cx="4772025" cy="2066925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D4354" w:rsidRPr="00344D88" w:rsidRDefault="00344D88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В 2014 года</w:t>
      </w:r>
      <w:r w:rsidR="004D4354"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в рамках муниципальной программы «Развитие субъектов малого и среднего предпринимательства в муниципальном образовании Алапаевское» на 2014 – 2016 годы, утвержденной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постановлением Администрации муниципального образования </w:t>
      </w:r>
      <w:r w:rsidRPr="00344D88">
        <w:rPr>
          <w:rFonts w:ascii="Times New Roman" w:eastAsia="Times New Roman" w:hAnsi="Times New Roman" w:cs="Times New Roman"/>
          <w:sz w:val="24"/>
          <w:szCs w:val="24"/>
        </w:rPr>
        <w:t xml:space="preserve">Алапаевское от 16 августа </w:t>
      </w:r>
      <w:r w:rsidR="004D4354" w:rsidRPr="00344D88">
        <w:rPr>
          <w:rFonts w:ascii="Times New Roman" w:eastAsia="Times New Roman" w:hAnsi="Times New Roman" w:cs="Times New Roman"/>
          <w:sz w:val="24"/>
          <w:szCs w:val="24"/>
        </w:rPr>
        <w:t>2013</w:t>
      </w:r>
      <w:r w:rsidRPr="00344D88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4D4354" w:rsidRPr="00344D88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344D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354" w:rsidRPr="00344D88">
        <w:rPr>
          <w:rFonts w:ascii="Times New Roman" w:eastAsia="Times New Roman" w:hAnsi="Times New Roman" w:cs="Times New Roman"/>
          <w:sz w:val="24"/>
          <w:szCs w:val="24"/>
        </w:rPr>
        <w:t>586:</w:t>
      </w:r>
    </w:p>
    <w:p w:rsidR="004D4354" w:rsidRPr="004D4354" w:rsidRDefault="00344D88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4D88">
        <w:rPr>
          <w:rFonts w:ascii="Times New Roman" w:eastAsia="Times New Roman" w:hAnsi="Times New Roman" w:cs="Times New Roman"/>
          <w:sz w:val="24"/>
          <w:szCs w:val="24"/>
        </w:rPr>
        <w:tab/>
        <w:t xml:space="preserve">1.1.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4D4354" w:rsidRPr="00344D88">
        <w:rPr>
          <w:rFonts w:ascii="Times New Roman" w:eastAsia="Times New Roman" w:hAnsi="Times New Roman" w:cs="Times New Roman"/>
          <w:sz w:val="24"/>
          <w:szCs w:val="24"/>
        </w:rPr>
        <w:t>казаны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консультационные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16 начинающим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предпринимателям (с момента регистрации до 2 лет),</w:t>
      </w:r>
      <w:r w:rsidR="004D4354"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36 -ти безработным гражданам  по вопросам: оформление субсидии,  оформление торгового места, объекта общепита,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чего начинать собственное дело.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ab/>
      </w:r>
      <w:r w:rsidR="00344D88">
        <w:rPr>
          <w:rFonts w:ascii="Times New Roman" w:eastAsia="Times New Roman" w:hAnsi="Times New Roman" w:cs="Times New Roman"/>
          <w:sz w:val="24"/>
          <w:szCs w:val="24"/>
        </w:rPr>
        <w:t>1.2. О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казаны информационные услуги: на сайте муниципального образования Алапаевское  создан раздел «Предпринимательство»,  обеспечивали функционирование  данного раздела, на сайте размещена  Программа «Развитие субъектов малого и с</w:t>
      </w:r>
      <w:r w:rsidR="00344D88">
        <w:rPr>
          <w:rFonts w:ascii="Times New Roman" w:eastAsia="Times New Roman" w:hAnsi="Times New Roman" w:cs="Times New Roman"/>
          <w:sz w:val="24"/>
          <w:szCs w:val="24"/>
        </w:rPr>
        <w:t>реднего предпринимательства в муниципальном образовании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Алапаевское», информация  о порядке  включения в 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Программу модернизации и создания новых рабочих мест на территории Свердловской области на период до 2020 года, порядок предоставления субсидии из бюджета муниципального образования Алапаевское в 2014 году субъектам малого и среднего предпринимательства, реестр субъектов малого и среднего предпринимательства</w:t>
      </w:r>
      <w:r w:rsidR="002816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- получателей поддержки и т.д.</w:t>
      </w:r>
      <w:r w:rsidR="00B5202F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Подготовлены и опубликованы в газете «Алапаевская искра»  статьи: «Получите деньги на бизнес», «Спе</w:t>
      </w:r>
      <w:r w:rsidR="00344D88">
        <w:rPr>
          <w:rFonts w:ascii="Times New Roman" w:eastAsia="Times New Roman" w:hAnsi="Times New Roman" w:cs="Times New Roman"/>
          <w:sz w:val="24"/>
          <w:szCs w:val="24"/>
        </w:rPr>
        <w:t>шите получить деньги на бизнес».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 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ab/>
      </w:r>
      <w:r w:rsidR="00344D88">
        <w:rPr>
          <w:rFonts w:ascii="Times New Roman" w:eastAsia="Times New Roman" w:hAnsi="Times New Roman" w:cs="Times New Roman"/>
          <w:sz w:val="24"/>
          <w:szCs w:val="24"/>
        </w:rPr>
        <w:t>1.3. О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казана финансовая поддержка на общую сумму 762,3 тыс. руб.,  предоставлены субсидии:</w:t>
      </w:r>
    </w:p>
    <w:p w:rsidR="004D4354" w:rsidRPr="004D4354" w:rsidRDefault="00344D88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>1.3.1. Н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а компенсацию затрат по доставке хлеба и товаров первой необходимости в труднодосту</w:t>
      </w:r>
      <w:r>
        <w:rPr>
          <w:rFonts w:ascii="Times New Roman" w:eastAsia="Times New Roman" w:hAnsi="Times New Roman" w:cs="Times New Roman"/>
          <w:sz w:val="24"/>
          <w:szCs w:val="24"/>
        </w:rPr>
        <w:t>пные сельские населенные пункты.</w:t>
      </w:r>
    </w:p>
    <w:p w:rsidR="004D4354" w:rsidRPr="004D4354" w:rsidRDefault="00344D88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1.3.2. В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новь созданным субъектам малого и среднего предпринимательства в целях возмещения затра</w:t>
      </w:r>
      <w:r>
        <w:rPr>
          <w:rFonts w:ascii="Times New Roman" w:eastAsia="Times New Roman" w:hAnsi="Times New Roman" w:cs="Times New Roman"/>
          <w:sz w:val="24"/>
          <w:szCs w:val="24"/>
        </w:rPr>
        <w:t>т на создание собственного дела.</w:t>
      </w:r>
    </w:p>
    <w:p w:rsidR="004D4354" w:rsidRPr="004D4354" w:rsidRDefault="00344D88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1.3.3. Н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а возмещение части затрат субъектов малого и среднего предпринимательства связанных с приобретением оборудования в целях создания и (или) развития и (или) модернизации производства товаров (работ, услуг).</w:t>
      </w:r>
    </w:p>
    <w:p w:rsidR="004D4354" w:rsidRP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ab/>
      </w: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  <w:tab/>
      </w:r>
      <w:r w:rsidRPr="004D435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4D4354">
        <w:rPr>
          <w:rFonts w:ascii="Times New Roman" w:eastAsia="Times New Roman" w:hAnsi="Times New Roman" w:cs="Times New Roman"/>
          <w:b/>
          <w:sz w:val="24"/>
          <w:szCs w:val="24"/>
        </w:rPr>
        <w:t>Динамика финансирования мероприятий программы «Развитие субъектов малого и с</w:t>
      </w:r>
      <w:r w:rsidR="00344D88">
        <w:rPr>
          <w:rFonts w:ascii="Times New Roman" w:eastAsia="Times New Roman" w:hAnsi="Times New Roman" w:cs="Times New Roman"/>
          <w:b/>
          <w:sz w:val="24"/>
          <w:szCs w:val="24"/>
        </w:rPr>
        <w:t>реднего предпринимательства в муниципальном образовании</w:t>
      </w:r>
      <w:r w:rsidRPr="004D4354">
        <w:rPr>
          <w:rFonts w:ascii="Times New Roman" w:eastAsia="Times New Roman" w:hAnsi="Times New Roman" w:cs="Times New Roman"/>
          <w:b/>
          <w:sz w:val="24"/>
          <w:szCs w:val="24"/>
        </w:rPr>
        <w:t xml:space="preserve"> Алапаевское»</w:t>
      </w:r>
    </w:p>
    <w:p w:rsidR="004D4354" w:rsidRPr="004D4354" w:rsidRDefault="004D4354" w:rsidP="004D43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282"/>
        <w:gridCol w:w="1440"/>
        <w:gridCol w:w="1260"/>
        <w:gridCol w:w="1260"/>
      </w:tblGrid>
      <w:tr w:rsidR="004D4354" w:rsidRPr="004D4354" w:rsidTr="004D4354">
        <w:trPr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2011</w:t>
            </w:r>
          </w:p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2013 </w:t>
            </w:r>
          </w:p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2014 </w:t>
            </w:r>
          </w:p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4D4354" w:rsidRPr="004D4354" w:rsidTr="004D4354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Общий объем финансирования 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133,3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540,04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903,3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763,7</w:t>
            </w:r>
          </w:p>
        </w:tc>
      </w:tr>
      <w:tr w:rsidR="004D4354" w:rsidRPr="004D4354" w:rsidTr="004D4354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344D88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354" w:rsidRPr="004D4354" w:rsidTr="004D4354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238,72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537,4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438,7</w:t>
            </w:r>
          </w:p>
        </w:tc>
      </w:tr>
      <w:tr w:rsidR="004D4354" w:rsidRPr="004D4354" w:rsidTr="004D4354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133,3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301,32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365,9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325,0</w:t>
            </w:r>
          </w:p>
        </w:tc>
      </w:tr>
    </w:tbl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  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ab/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ab/>
        <w:t>Объем инвестиций в основной капитал в 2014 году составил 377,7 млн. рублей (за исключением бюджетных средств), или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14930 рублей в расчете на 1 жителя.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344D88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D88">
        <w:rPr>
          <w:rFonts w:ascii="Times New Roman" w:eastAsia="Times New Roman" w:hAnsi="Times New Roman" w:cs="Times New Roman"/>
          <w:b/>
          <w:sz w:val="24"/>
          <w:szCs w:val="24"/>
        </w:rPr>
        <w:t>Объем инвестиций в основной капитал (за исключением бюджетных средств)  в расчете на 1 жителя (рублей)</w:t>
      </w: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F4E44CA" wp14:editId="38B1C43D">
            <wp:extent cx="5153025" cy="1676400"/>
            <wp:effectExtent l="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2016 году планируется увеличение объема инвестиций до 172204,8 рублей в расчете</w:t>
      </w:r>
      <w:r w:rsidR="00344D88">
        <w:rPr>
          <w:rFonts w:ascii="Times New Roman" w:eastAsia="Times New Roman" w:hAnsi="Times New Roman" w:cs="Times New Roman"/>
          <w:sz w:val="24"/>
          <w:szCs w:val="24"/>
        </w:rPr>
        <w:t xml:space="preserve"> на 1 жителя. В 2015 – 2016 годы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НАО «СВЕЗА Верхняя Синячиха» планирует строительств</w:t>
      </w:r>
      <w:r w:rsidR="00344D88">
        <w:rPr>
          <w:rFonts w:ascii="Times New Roman" w:eastAsia="Times New Roman" w:hAnsi="Times New Roman" w:cs="Times New Roman"/>
          <w:sz w:val="24"/>
          <w:szCs w:val="24"/>
        </w:rPr>
        <w:t>о завода ДСП (2015 год – 6097834 тыс. руб., 2016 год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– 3997422 тыс. руб.).</w:t>
      </w:r>
    </w:p>
    <w:p w:rsidR="004D4354" w:rsidRPr="004D4354" w:rsidRDefault="004D4354" w:rsidP="004D435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целях повышения инвестиционной привлекательности муниципального образования Алапаевское, обеспечения условий для формирования положительной динамики инвестиционной активности субъектов инвестиционной деятельности и роста производственного потенциала на территории муниципального образования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="00344D88" w:rsidRPr="00344D88">
        <w:rPr>
          <w:rFonts w:ascii="Times New Roman" w:eastAsia="Times New Roman" w:hAnsi="Times New Roman" w:cs="Times New Roman"/>
          <w:sz w:val="24"/>
          <w:szCs w:val="24"/>
        </w:rPr>
        <w:t xml:space="preserve">Алапаевское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на сайте муниципального образования </w:t>
      </w:r>
      <w:r w:rsidR="00344D88">
        <w:rPr>
          <w:rFonts w:ascii="Times New Roman" w:eastAsia="Times New Roman" w:hAnsi="Times New Roman" w:cs="Times New Roman"/>
          <w:sz w:val="24"/>
          <w:szCs w:val="24"/>
        </w:rPr>
        <w:t xml:space="preserve">Алапаевское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в разделе «Экономика» создан подраздел «Инвестиционная деятельность», где размещена Инвестиционная стратегия мун</w:t>
      </w:r>
      <w:r w:rsidR="00344D88">
        <w:rPr>
          <w:rFonts w:ascii="Times New Roman" w:eastAsia="Times New Roman" w:hAnsi="Times New Roman" w:cs="Times New Roman"/>
          <w:sz w:val="24"/>
          <w:szCs w:val="24"/>
        </w:rPr>
        <w:t xml:space="preserve">иципального образования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Алапаевское на период до 2020 года, утвержденная постановлением Администрации муниципального о</w:t>
      </w:r>
      <w:r w:rsidR="00344D88">
        <w:rPr>
          <w:rFonts w:ascii="Times New Roman" w:eastAsia="Times New Roman" w:hAnsi="Times New Roman" w:cs="Times New Roman"/>
          <w:sz w:val="24"/>
          <w:szCs w:val="24"/>
        </w:rPr>
        <w:t xml:space="preserve">бразования Алапаевское от 10 июня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2013</w:t>
      </w:r>
      <w:r w:rsidR="00344D88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№ 398, </w:t>
      </w:r>
      <w:r w:rsidR="0028160B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лан мероприятий («Дорожная карта») по повышению инвестиционной привлекательности и созданию благоприятных условий для развития бизнеса в муниципальном образовании Алапаевское н</w:t>
      </w:r>
      <w:r w:rsidR="0028160B">
        <w:rPr>
          <w:rFonts w:ascii="Times New Roman" w:eastAsia="Times New Roman" w:hAnsi="Times New Roman" w:cs="Times New Roman"/>
          <w:sz w:val="24"/>
          <w:szCs w:val="24"/>
        </w:rPr>
        <w:t>а 2013 – 2018 годы</w:t>
      </w:r>
      <w:r w:rsidR="00035768">
        <w:rPr>
          <w:rFonts w:ascii="Times New Roman" w:eastAsia="Times New Roman" w:hAnsi="Times New Roman" w:cs="Times New Roman"/>
          <w:sz w:val="24"/>
          <w:szCs w:val="24"/>
        </w:rPr>
        <w:t>, утвержденный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постановлением Администрации муниципального образования Алапаевское от </w:t>
      </w:r>
      <w:r w:rsidR="00035768">
        <w:rPr>
          <w:rFonts w:ascii="Times New Roman" w:eastAsia="Times New Roman" w:hAnsi="Times New Roman" w:cs="Times New Roman"/>
          <w:sz w:val="24"/>
          <w:szCs w:val="24"/>
        </w:rPr>
        <w:t xml:space="preserve">20 ноября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2013</w:t>
      </w:r>
      <w:r w:rsidR="00035768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№ 863,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инвестиционный паспорт муниципального образования</w:t>
      </w:r>
      <w:r w:rsidR="00035768">
        <w:rPr>
          <w:rFonts w:ascii="Times New Roman" w:eastAsia="Times New Roman" w:hAnsi="Times New Roman" w:cs="Times New Roman"/>
          <w:sz w:val="24"/>
          <w:szCs w:val="24"/>
        </w:rPr>
        <w:t xml:space="preserve"> Алапаевское на 2012 – 2015 годы</w:t>
      </w:r>
      <w:r w:rsidRPr="000357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утвержденный постановлением Администрации муниципального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образования </w:t>
      </w:r>
      <w:r w:rsidR="00035768">
        <w:rPr>
          <w:rFonts w:ascii="Times New Roman" w:eastAsia="Times New Roman" w:hAnsi="Times New Roman" w:cs="Times New Roman"/>
          <w:sz w:val="24"/>
          <w:szCs w:val="24"/>
        </w:rPr>
        <w:t xml:space="preserve">Алапаевское от 27 февраля 2013 года № 138 (с изменениями от 24 декабря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2014</w:t>
      </w:r>
      <w:r w:rsidR="00035768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0357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1279).</w:t>
      </w:r>
    </w:p>
    <w:p w:rsidR="004D4354" w:rsidRPr="004D4354" w:rsidRDefault="004D4354" w:rsidP="004D435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Доля площади земельных участков, являющихся объектами налогообложения земельным налогом, в общей площади территории муниципального образования </w:t>
      </w:r>
      <w:r w:rsidR="00035768">
        <w:rPr>
          <w:rFonts w:ascii="Times New Roman" w:eastAsia="Times New Roman" w:hAnsi="Times New Roman" w:cs="Times New Roman"/>
          <w:sz w:val="24"/>
          <w:szCs w:val="24"/>
        </w:rPr>
        <w:t xml:space="preserve">Алапаевское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в 2014 году составила 30 %. </w:t>
      </w:r>
    </w:p>
    <w:p w:rsidR="004D4354" w:rsidRPr="004D4354" w:rsidRDefault="004D4354" w:rsidP="004D435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4D435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noProof/>
          <w:color w:val="FF6600"/>
          <w:sz w:val="24"/>
          <w:szCs w:val="24"/>
        </w:rPr>
        <w:drawing>
          <wp:inline distT="0" distB="0" distL="0" distR="0" wp14:anchorId="16C21D3F" wp14:editId="2FE8BF7F">
            <wp:extent cx="5619750" cy="2057400"/>
            <wp:effectExtent l="0" t="0" r="0" b="0"/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D4354" w:rsidRPr="004D4354" w:rsidRDefault="004D4354" w:rsidP="004D435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Невысокий уровень показателя объясняется низкой активностью владельцев земельных долей по переоформлению свидетельств на земельный пай.</w:t>
      </w:r>
    </w:p>
    <w:p w:rsidR="004D4354" w:rsidRPr="004D4354" w:rsidRDefault="004D4354" w:rsidP="004D435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К 2018 году долю площади земельных участков, являющихся объектами налогообложения земельным налогом планируется увеличить до 35% за счет оформления невостребованных земельных долей в муниципальную собственность.</w:t>
      </w:r>
    </w:p>
    <w:p w:rsidR="004D4354" w:rsidRP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  <w:tab/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В 2014 году 8 организаций осуществляли сельскохозяйственную деятельность.</w:t>
      </w:r>
    </w:p>
    <w:p w:rsidR="004D4354" w:rsidRP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035768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768">
        <w:rPr>
          <w:rFonts w:ascii="Times New Roman" w:eastAsia="Times New Roman" w:hAnsi="Times New Roman" w:cs="Times New Roman"/>
          <w:b/>
          <w:sz w:val="24"/>
          <w:szCs w:val="24"/>
        </w:rPr>
        <w:t>Показатель доли прибыльных сельскохозяйственных организаций</w:t>
      </w:r>
    </w:p>
    <w:p w:rsidR="004D4354" w:rsidRPr="00035768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768">
        <w:rPr>
          <w:rFonts w:ascii="Times New Roman" w:eastAsia="Times New Roman" w:hAnsi="Times New Roman" w:cs="Times New Roman"/>
          <w:b/>
          <w:sz w:val="24"/>
          <w:szCs w:val="24"/>
        </w:rPr>
        <w:t xml:space="preserve"> в муниципальном образовании Алапаевское </w:t>
      </w:r>
    </w:p>
    <w:p w:rsidR="004D4354" w:rsidRP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FF66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545"/>
        <w:gridCol w:w="929"/>
        <w:gridCol w:w="930"/>
        <w:gridCol w:w="930"/>
        <w:gridCol w:w="931"/>
        <w:gridCol w:w="922"/>
        <w:gridCol w:w="922"/>
        <w:gridCol w:w="922"/>
      </w:tblGrid>
      <w:tr w:rsidR="004D4354" w:rsidRPr="004D4354" w:rsidTr="00035768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354" w:rsidRPr="004D4354" w:rsidRDefault="004D4354" w:rsidP="00035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354" w:rsidRPr="004D4354" w:rsidRDefault="004D4354" w:rsidP="00035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354" w:rsidRPr="004D4354" w:rsidRDefault="004D4354" w:rsidP="00035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Отчет</w:t>
            </w: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354" w:rsidRPr="004D4354" w:rsidRDefault="004D4354" w:rsidP="00035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</w:t>
            </w:r>
          </w:p>
        </w:tc>
      </w:tr>
      <w:tr w:rsidR="004D4354" w:rsidRPr="004D4354" w:rsidTr="004D435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354" w:rsidRPr="004D4354" w:rsidRDefault="004D4354" w:rsidP="004D4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354" w:rsidRPr="004D4354" w:rsidRDefault="004D4354" w:rsidP="004D4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035768" w:rsidP="00035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2011 год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035768" w:rsidP="00035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2012 год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035768" w:rsidP="00035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2013 год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035768" w:rsidP="00035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2014 год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035768" w:rsidP="00035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2015 год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035768" w:rsidP="00035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035768" w:rsidP="00035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2017 год</w:t>
            </w:r>
          </w:p>
        </w:tc>
      </w:tr>
      <w:tr w:rsidR="004D4354" w:rsidRPr="004D4354" w:rsidTr="004D43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035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сельскохозяйственных организаций, ед.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4D4354" w:rsidRPr="004D4354" w:rsidTr="004D43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035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Прибыльные сельскохозяйственные организации, ед.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4D4354" w:rsidRPr="004D4354" w:rsidTr="004D43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035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Доля прибыльных сельскохозяйственных организаций, %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77,8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</w:tbl>
    <w:p w:rsidR="004D4354" w:rsidRPr="004D4354" w:rsidRDefault="004D4354" w:rsidP="004D435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Cs/>
          <w:color w:val="FF6600"/>
          <w:sz w:val="24"/>
          <w:szCs w:val="24"/>
        </w:rPr>
        <w:tab/>
      </w:r>
      <w:r w:rsidRPr="004D4354">
        <w:rPr>
          <w:rFonts w:ascii="Times New Roman" w:eastAsia="Times New Roman" w:hAnsi="Times New Roman" w:cs="Times New Roman"/>
          <w:bCs/>
          <w:sz w:val="24"/>
          <w:szCs w:val="24"/>
        </w:rPr>
        <w:t>Сельскохозяйственные организации в последние годы имеют устойчивые показатели прибыльности. Базовыми условиями роста эффективности послужили:</w:t>
      </w:r>
    </w:p>
    <w:p w:rsidR="004D4354" w:rsidRPr="004D4354" w:rsidRDefault="004D4354" w:rsidP="00035768">
      <w:pPr>
        <w:numPr>
          <w:ilvl w:val="0"/>
          <w:numId w:val="12"/>
        </w:numPr>
        <w:tabs>
          <w:tab w:val="clear" w:pos="1095"/>
          <w:tab w:val="num" w:pos="0"/>
          <w:tab w:val="left" w:pos="993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Cs/>
          <w:sz w:val="24"/>
          <w:szCs w:val="24"/>
        </w:rPr>
        <w:t>Ежегодная устойчивая государственная поддержка сельскохозяйственных товаропроизводителей через субсидирование части з</w:t>
      </w:r>
      <w:r w:rsidR="00035768">
        <w:rPr>
          <w:rFonts w:ascii="Times New Roman" w:eastAsia="Times New Roman" w:hAnsi="Times New Roman" w:cs="Times New Roman"/>
          <w:bCs/>
          <w:sz w:val="24"/>
          <w:szCs w:val="24"/>
        </w:rPr>
        <w:t>атрат и инвестиционных вложений.</w:t>
      </w:r>
    </w:p>
    <w:p w:rsidR="004D4354" w:rsidRPr="004D4354" w:rsidRDefault="004D4354" w:rsidP="00035768">
      <w:pPr>
        <w:numPr>
          <w:ilvl w:val="0"/>
          <w:numId w:val="12"/>
        </w:numPr>
        <w:tabs>
          <w:tab w:val="clear" w:pos="1095"/>
          <w:tab w:val="num" w:pos="0"/>
          <w:tab w:val="left" w:pos="993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Cs/>
          <w:sz w:val="24"/>
          <w:szCs w:val="24"/>
        </w:rPr>
        <w:t>Внедрение в производственные процессы животноводства и растениеводства новы</w:t>
      </w:r>
      <w:r w:rsidR="00035768">
        <w:rPr>
          <w:rFonts w:ascii="Times New Roman" w:eastAsia="Times New Roman" w:hAnsi="Times New Roman" w:cs="Times New Roman"/>
          <w:bCs/>
          <w:sz w:val="24"/>
          <w:szCs w:val="24"/>
        </w:rPr>
        <w:t>х ресурсосберегающих технологий.</w:t>
      </w:r>
    </w:p>
    <w:p w:rsidR="004D4354" w:rsidRPr="004D4354" w:rsidRDefault="004D4354" w:rsidP="00035768">
      <w:pPr>
        <w:numPr>
          <w:ilvl w:val="0"/>
          <w:numId w:val="12"/>
        </w:numPr>
        <w:tabs>
          <w:tab w:val="clear" w:pos="1095"/>
          <w:tab w:val="num" w:pos="0"/>
          <w:tab w:val="left" w:pos="993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Cs/>
          <w:sz w:val="24"/>
          <w:szCs w:val="24"/>
        </w:rPr>
        <w:t>Последовательное техническое перевооружение сел</w:t>
      </w:r>
      <w:r w:rsidR="00035768">
        <w:rPr>
          <w:rFonts w:ascii="Times New Roman" w:eastAsia="Times New Roman" w:hAnsi="Times New Roman" w:cs="Times New Roman"/>
          <w:bCs/>
          <w:sz w:val="24"/>
          <w:szCs w:val="24"/>
        </w:rPr>
        <w:t>ьскохозяйственного производства.</w:t>
      </w:r>
    </w:p>
    <w:p w:rsidR="004D4354" w:rsidRPr="004D4354" w:rsidRDefault="004D4354" w:rsidP="00035768">
      <w:pPr>
        <w:numPr>
          <w:ilvl w:val="0"/>
          <w:numId w:val="12"/>
        </w:numPr>
        <w:tabs>
          <w:tab w:val="clear" w:pos="1095"/>
          <w:tab w:val="num" w:pos="0"/>
          <w:tab w:val="left" w:pos="993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Cs/>
          <w:sz w:val="24"/>
          <w:szCs w:val="24"/>
        </w:rPr>
        <w:t>Развитие инфраструктуры сельских населенных пунктов.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ab/>
        <w:t>Для сохранения положительной динамики роста сельскохозяйственного производства и устойчивой рентабельности необходимо сохранение мер субсидирования сельскохозяйственных товаропроизводителей.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Cs/>
          <w:sz w:val="24"/>
          <w:szCs w:val="24"/>
        </w:rPr>
        <w:tab/>
        <w:t>По итогам 2014 года все сельскохозяйственные организации получили прибыль. Общая сумма прибыли составила 131617 тыс. рублей. Темп роста прибыльности составил 119,1%. Уровень чистой рентабельности 16,1%.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Cs/>
          <w:sz w:val="24"/>
          <w:szCs w:val="24"/>
        </w:rPr>
        <w:tab/>
        <w:t>Для дальнейшего роста сельскохозяйственного производства и его эффективности на период 2015 – 2017 годов, необходимо:</w:t>
      </w:r>
    </w:p>
    <w:p w:rsidR="004D4354" w:rsidRPr="004D4354" w:rsidRDefault="004D4354" w:rsidP="00035768">
      <w:pPr>
        <w:numPr>
          <w:ilvl w:val="0"/>
          <w:numId w:val="13"/>
        </w:numPr>
        <w:tabs>
          <w:tab w:val="clear" w:pos="119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Cs/>
          <w:sz w:val="24"/>
          <w:szCs w:val="24"/>
        </w:rPr>
        <w:t>Техническая и технологическая модернизация сельскохозяйственного производства.</w:t>
      </w:r>
    </w:p>
    <w:p w:rsidR="004D4354" w:rsidRPr="004D4354" w:rsidRDefault="004D4354" w:rsidP="00035768">
      <w:pPr>
        <w:numPr>
          <w:ilvl w:val="0"/>
          <w:numId w:val="13"/>
        </w:numPr>
        <w:tabs>
          <w:tab w:val="clear" w:pos="119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Cs/>
          <w:sz w:val="24"/>
          <w:szCs w:val="24"/>
        </w:rPr>
        <w:t>Конструктивная кредитная политики в отношении сельскохозяйственных товаропроизводителей.</w:t>
      </w:r>
    </w:p>
    <w:p w:rsidR="004D4354" w:rsidRPr="004D4354" w:rsidRDefault="004D4354" w:rsidP="00035768">
      <w:pPr>
        <w:numPr>
          <w:ilvl w:val="0"/>
          <w:numId w:val="13"/>
        </w:numPr>
        <w:tabs>
          <w:tab w:val="clear" w:pos="119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Cs/>
          <w:sz w:val="24"/>
          <w:szCs w:val="24"/>
        </w:rPr>
        <w:t>Последовательная государственная поддержка развития агропромышленного комплекса.</w:t>
      </w:r>
    </w:p>
    <w:p w:rsidR="004D4354" w:rsidRPr="004D4354" w:rsidRDefault="004D4354" w:rsidP="00035768">
      <w:pPr>
        <w:numPr>
          <w:ilvl w:val="0"/>
          <w:numId w:val="13"/>
        </w:numPr>
        <w:tabs>
          <w:tab w:val="clear" w:pos="119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Cs/>
          <w:sz w:val="24"/>
          <w:szCs w:val="24"/>
        </w:rPr>
        <w:t xml:space="preserve">Кадровая и инфраструктурная работа для повышения качества работы и жизни сельских территорий.  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Общая протяженность авто</w:t>
      </w:r>
      <w:r w:rsidR="00035768">
        <w:rPr>
          <w:rFonts w:ascii="Times New Roman" w:eastAsia="Times New Roman" w:hAnsi="Times New Roman" w:cs="Times New Roman"/>
          <w:sz w:val="24"/>
          <w:szCs w:val="24"/>
        </w:rPr>
        <w:t>мобильных дорог на территории муниципального образования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Алапае</w:t>
      </w:r>
      <w:r w:rsidR="00035768">
        <w:rPr>
          <w:rFonts w:ascii="Times New Roman" w:eastAsia="Times New Roman" w:hAnsi="Times New Roman" w:cs="Times New Roman"/>
          <w:sz w:val="24"/>
          <w:szCs w:val="24"/>
        </w:rPr>
        <w:t xml:space="preserve">вское составляет 773 км., в том числе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дорог местного значения </w:t>
      </w:r>
      <w:r w:rsidR="00035768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480,2 км.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В 2014 году дорожная деятельность и обеспечение безопасности дорожного движения на территории муниципального образования Алапаевское осуществлялась по двум муниципальным программам: 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sz w:val="24"/>
          <w:szCs w:val="24"/>
        </w:rPr>
        <w:t>«Повышение безопасности дорожного движения в муниципальном образовании Алапаевское»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на 2012-2020 годы, объём финансирования программы составил 1644,9 тыс. руб. из местного бюджета.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рамках программы выполнено следующее: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установлено 138 дорожных знаков: р.п. Верхняя Синячиха - 47 шт., с. Костино - 22 шт., с. Ялунинское - 20 шт., с. Нижняя Синячиха - 3 шт., с. Арамашево - 16 шт., 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с. Кировское - 4 шт., с. Останино - 4 шт., с. Деево - 18 шт., с. Коптелово - 4 шт.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D4354" w:rsidRPr="004D4354" w:rsidRDefault="004D4354" w:rsidP="004D43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установлен щит с социально-значимой информацией по безопасности дорожного движения на перекрёстке дороги по ул. К.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Маркса - ул. Железнод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>орожная в р.п. Верхняя Синячиха;</w:t>
      </w:r>
    </w:p>
    <w:p w:rsidR="004D4354" w:rsidRPr="004D4354" w:rsidRDefault="004D4354" w:rsidP="004D43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произведено обустройство пешеходного перехода у стадиона «ОРИОН» в 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р.п. Верхняя Синячиха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 xml:space="preserve"> Алапаевского района;</w:t>
      </w:r>
    </w:p>
    <w:p w:rsidR="004D4354" w:rsidRPr="004D4354" w:rsidRDefault="004D4354" w:rsidP="004D43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проведён ремонт 817 м</w:t>
      </w:r>
      <w:r w:rsidRPr="004D435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тротуаров: р.п. Верхняя Синячиха по ул.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К.Маркса, 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п.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Ельничная по ул.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Береговая, Садовая, с. Останино по ул.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 xml:space="preserve"> З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елёная, п.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Курорт Самоцвет по ул.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Центральная, с.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Коптелово по улице Ленина, Крупской,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с.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 xml:space="preserve"> Толмачево по ул. Ленина;</w:t>
      </w:r>
    </w:p>
    <w:p w:rsidR="004D4354" w:rsidRPr="004D4354" w:rsidRDefault="004D4354" w:rsidP="004D43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приобретено и установлено 7 остановочных навесов - в с.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Кировское по ул.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Ленина, в. д. В.Яр по ул.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Пушкина, п. Молтаево по ул.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Ленина, д. Бутакова по ул.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Советская, 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с. Толмачево по ул.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Ленина, в д. Таборы по ул.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Молодёжная, д. Никонова по 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ул.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 xml:space="preserve"> Центральная;</w:t>
      </w:r>
    </w:p>
    <w:p w:rsidR="004D4354" w:rsidRPr="004D4354" w:rsidRDefault="004D4354" w:rsidP="004D43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проведены мероприятия, направленные на профилактику детского дорожно-транспортного травматизма (конкурс «Безопасное колесо»).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sz w:val="24"/>
          <w:szCs w:val="24"/>
        </w:rPr>
        <w:t>«Развитие и обеспечение сохранности сети автомобильных дорог на территории муниципального образования Алапаевское»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на 2012-2016 годы, объём финансирования программы составил 5088,12 тыс. руб. из местного бюджета.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рамках программы выполнено следующее: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в населенных 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>пунктах выполнен ремонт 61715 м</w:t>
      </w:r>
      <w:r w:rsidR="00651DE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автодорог;</w:t>
      </w:r>
    </w:p>
    <w:p w:rsidR="004D4354" w:rsidRPr="004D4354" w:rsidRDefault="004D4354" w:rsidP="00651DE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построена стоянка для автомобилей у ЦРБ с обустройством разворотной площадки для маршрутного а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>втобуса в р.п. Верхняя Синячиха 694 м</w:t>
      </w:r>
      <w:r w:rsidR="00651DE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D4354" w:rsidRPr="004D4354" w:rsidRDefault="00651DE8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выполнен ремонт мостов в с. Голубковское по ул. Куйбышева (через р. Пойка), ремонт пешеходного моста в д. Михалева (через р. Урай), ремонт моста в д. Ключи (на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lastRenderedPageBreak/>
        <w:t>въезде через ручей), ремонт моста п. Ясашная по ул. Зеленая, 19 (через р. Полуденка), ремонт моста через р. Нейва в с. Кировское.</w:t>
      </w:r>
    </w:p>
    <w:p w:rsidR="004D4354" w:rsidRPr="004D4354" w:rsidRDefault="00651DE8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Завершено строительство автомобильной дороги с. Голубковское - п. Гаранинка - 10 км. Начато строительство автомобильной дороги между с. Рычково - п. Ельничная - 12 км. Заказчиком является ГКУ СО «Управление автомобильных дорог». Строительство ведётся генподрядчиком ООО «Дельта». Завершение строительства в 2015 году. 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ab/>
        <w:t>Начато строительство мостового перехода через р. Нейва на автомобильной дороге «Подъезд к с. Невьянское от км 39+434 автодороги р.п.Верхняя Синячиха – Ирбит». Завершение строительства в 2017 году.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По заданию ГКУ СО «Управление автомобильных дорог» в 2014 году разработана проектно-сметная документация на строительство подъезда к деревне Кабакова с мостовым переходом через р. Нейва.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Произошло снижение количества дорожно-транспортных происшествий на территории муниципального образования Алапаевское (</w:t>
      </w:r>
      <w:r w:rsidRPr="004D4354">
        <w:rPr>
          <w:rFonts w:ascii="Times New Roman" w:eastAsia="Times New Roman" w:hAnsi="Times New Roman" w:cs="Times New Roman"/>
          <w:color w:val="000000"/>
          <w:sz w:val="24"/>
          <w:szCs w:val="24"/>
        </w:rPr>
        <w:t>2014 год – 225; 2013 год – 312; 2012 год – 328).</w:t>
      </w:r>
    </w:p>
    <w:p w:rsidR="004D4354" w:rsidRPr="004D4354" w:rsidRDefault="004D4354" w:rsidP="004D43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Все населенные пункты муниципального образования Алапаевское охвачены транспортным обслуживанием, из них 52 автобусным сообщением. Транспортное обслуживание населения муниципального образования Алапаевское осу</w:t>
      </w:r>
      <w:r w:rsidR="00651DE8">
        <w:rPr>
          <w:rFonts w:ascii="Times New Roman" w:eastAsia="Times New Roman" w:hAnsi="Times New Roman" w:cs="Times New Roman"/>
          <w:sz w:val="24"/>
          <w:szCs w:val="24"/>
        </w:rPr>
        <w:t>ществляется ОАО «Алапаевское автотранспортное предприятие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» на 3 пригородных и 6 междугородних маршрутах. 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Среднемесячная номинальная начисленная заработная плата работников крупных и средних предприятий и некоммерческих организаций в январе - декабре 2014 года   составила  в  муниципальном образовании Алапаевское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21927,5 рублей,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увеличение к 2013 году на 7%. 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651DE8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1DE8">
        <w:rPr>
          <w:rFonts w:ascii="Times New Roman" w:eastAsia="Times New Roman" w:hAnsi="Times New Roman" w:cs="Times New Roman"/>
          <w:b/>
          <w:sz w:val="24"/>
          <w:szCs w:val="24"/>
        </w:rPr>
        <w:t>Среднемесячная номинальная начисленная заработная плата работников, рублей</w:t>
      </w: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i/>
          <w:noProof/>
          <w:color w:val="FF6600"/>
          <w:sz w:val="24"/>
          <w:szCs w:val="24"/>
        </w:rPr>
        <w:drawing>
          <wp:inline distT="0" distB="0" distL="0" distR="0" wp14:anchorId="0F073B2A" wp14:editId="23756D70">
            <wp:extent cx="5210175" cy="1828800"/>
            <wp:effectExtent l="0" t="0" r="0" b="0"/>
            <wp:docPr id="4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ab/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В 2014 году среднемесячная  номинальная начисленная заработная плата работников муниципальных дошкольных образовательных учреждений составила 15887,3</w:t>
      </w:r>
      <w:r w:rsidRPr="004D435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рублей,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увеличение значения показателя к уровню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2011 года на 60,7 %.   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noProof/>
          <w:color w:val="FF6600"/>
          <w:sz w:val="24"/>
          <w:szCs w:val="24"/>
        </w:rPr>
        <w:drawing>
          <wp:inline distT="0" distB="0" distL="0" distR="0" wp14:anchorId="6AF4177C" wp14:editId="3135D9EC">
            <wp:extent cx="5372100" cy="2047875"/>
            <wp:effectExtent l="0" t="0" r="0" b="0"/>
            <wp:docPr id="5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B520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Система дошкольного образования  муниципального образования Алапаевское на 01 января 2015 года включает  26 учреждений, в том числе 9 юридических лиц и 17 филиалов. В связи с этим, в детских садах высокая численность непедагогических работников с низкой заработной платой, в среднем не превышающей МРОТ, что влияет на средний уровень заработной платы работников дошкольных учреждений.</w:t>
      </w:r>
    </w:p>
    <w:p w:rsidR="004D4354" w:rsidRPr="004D4354" w:rsidRDefault="004D4354" w:rsidP="00B520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К 2018 году прогнозируется увеличение показателя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на 74 %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 уровню к 2011 года.</w:t>
      </w:r>
    </w:p>
    <w:p w:rsidR="004D4354" w:rsidRPr="004D4354" w:rsidRDefault="004D4354" w:rsidP="00B520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2014 году среднемесячная  номинальная начисленная заработная плата работников муниципальных общеобразовательных учреждений составила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27092,3</w:t>
      </w:r>
      <w:r w:rsidRPr="004D435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рублей, увеличение значения показателя к уровню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2011 года на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49,3 %.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  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noProof/>
          <w:color w:val="FF6600"/>
          <w:sz w:val="24"/>
          <w:szCs w:val="24"/>
        </w:rPr>
        <w:drawing>
          <wp:inline distT="0" distB="0" distL="0" distR="0" wp14:anchorId="79F5FF88" wp14:editId="6D590B93">
            <wp:extent cx="5476875" cy="2171700"/>
            <wp:effectExtent l="0" t="0" r="0" b="0"/>
            <wp:docPr id="6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         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 2018 году прогнозируется увеличение показателя на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70,7 %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 уровню 2011 года.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ab/>
        <w:t>В 2014 году среднемесячная  номинальная начисленная заработн</w:t>
      </w:r>
      <w:r w:rsidR="00B5202F">
        <w:rPr>
          <w:rFonts w:ascii="Times New Roman" w:eastAsia="Times New Roman" w:hAnsi="Times New Roman" w:cs="Times New Roman"/>
          <w:sz w:val="24"/>
          <w:szCs w:val="24"/>
        </w:rPr>
        <w:t>ая плата учителей муниципальных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образовательных учреждений составила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29932 рубля, увеличение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значения показателя к уровню 2011 года на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34,2 %.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  </w:t>
      </w: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noProof/>
          <w:color w:val="FF6600"/>
          <w:sz w:val="24"/>
          <w:szCs w:val="24"/>
        </w:rPr>
        <w:drawing>
          <wp:inline distT="0" distB="0" distL="0" distR="0" wp14:anchorId="0C1DFA52" wp14:editId="7518CF43">
            <wp:extent cx="5505450" cy="1943100"/>
            <wp:effectExtent l="0" t="0" r="0" b="0"/>
            <wp:docPr id="8" name="Объект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           К 2018 году планируется увеличение показателя на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59,6 %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 уровню 2011 года. Постановлением Администрации муниципального образования Алапаевское от 25 июля 2013 года №</w:t>
      </w:r>
      <w:r w:rsidR="00B52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536 «Об утверждении плана мероприятий («дорожной карты») «Изменения в отраслях социальной сферы, направленные на повышение эффективности образования» в муниципальном образовании Алапаевское на 2013 – 2018 годы» утверждены мероприятия по повышению заработной платы работников образовательных учреждений.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рамках реализации Указа Президента Р</w:t>
      </w:r>
      <w:r w:rsidR="00B5202F">
        <w:rPr>
          <w:rFonts w:ascii="Times New Roman" w:eastAsia="Times New Roman" w:hAnsi="Times New Roman" w:cs="Times New Roman"/>
          <w:sz w:val="24"/>
          <w:szCs w:val="24"/>
        </w:rPr>
        <w:t xml:space="preserve">оссийской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Ф</w:t>
      </w:r>
      <w:r w:rsidR="00B5202F">
        <w:rPr>
          <w:rFonts w:ascii="Times New Roman" w:eastAsia="Times New Roman" w:hAnsi="Times New Roman" w:cs="Times New Roman"/>
          <w:sz w:val="24"/>
          <w:szCs w:val="24"/>
        </w:rPr>
        <w:t xml:space="preserve">едерации от 07 мая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2012 года №</w:t>
      </w:r>
      <w:r w:rsidR="00B52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597 «О мероприятиях по реализации государственной социальной политики» осуществлено повышение заработной платы работников учреждений культуры.  Среднемесячная номинальная начисленная заработная плата работников муниципальных учреждений культуры и искусства составила в 2014 году 22343,1 рублей, увеличение показателя к уровню 2011 года на 117,9 %.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i/>
          <w:noProof/>
          <w:color w:val="FF6600"/>
          <w:sz w:val="24"/>
          <w:szCs w:val="24"/>
        </w:rPr>
        <w:lastRenderedPageBreak/>
        <w:drawing>
          <wp:inline distT="0" distB="0" distL="0" distR="0" wp14:anchorId="53D43560" wp14:editId="0F107D45">
            <wp:extent cx="5162550" cy="1800225"/>
            <wp:effectExtent l="0" t="0" r="0" b="0"/>
            <wp:docPr id="9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ab/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 2018 году прогнозируется увеличение показателя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в 3,9 раза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 уровню 2011 года.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Среднемесячная номинальная начисленная заработная плата работников муниципальных учреждений физической культуры и спорта составила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в 2014 году  14660,51 рублей, увеличение значения показателя к уровню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2011 года на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64,9 %.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i/>
          <w:noProof/>
          <w:color w:val="FF6600"/>
          <w:sz w:val="24"/>
          <w:szCs w:val="24"/>
        </w:rPr>
        <w:drawing>
          <wp:inline distT="0" distB="0" distL="0" distR="0" wp14:anchorId="06A267EF" wp14:editId="1F79E137">
            <wp:extent cx="5229225" cy="1828800"/>
            <wp:effectExtent l="0" t="0" r="0" b="0"/>
            <wp:docPr id="10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4D4354" w:rsidRPr="004D4354" w:rsidRDefault="004D4354" w:rsidP="00B520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К 2018 году прогнозируется увеличение показателя в 2 раза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 уровню к 2011 года.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sz w:val="24"/>
          <w:szCs w:val="24"/>
        </w:rPr>
        <w:t>Раздел 2.  Дошкольное образование</w:t>
      </w: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B5202F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01 января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2015 года дошкольные учреждения муниципального образования Алапаевское посещает 1646 детей в возрасте 1 – 6 лет или 86,2% от общей численности детей.</w:t>
      </w:r>
      <w:r w:rsidR="004D4354"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В 2013 году данный показатель составлял 77,5% , в 2012 году – 68,1%,  в 2011 году – 55,3%.</w:t>
      </w:r>
      <w:r w:rsidR="004D4354"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 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Положительная динамика достигнута в  результате реализации муниципальной программы</w:t>
      </w:r>
      <w:r w:rsidR="004D4354"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«Развитие сети дошкольных образовательных учреждений  в муниципальном образовании Алапаевское на 2010 – 2016 годы». В рамках программы в дошкольных учреждениях муниципального образования Алапаевское введено</w:t>
      </w:r>
      <w:r w:rsidR="004D4354"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750 дополнительных мест</w:t>
      </w:r>
      <w:r w:rsidR="004D4354"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(2010 год - 204 места, 2011 год - 43 места, 2012 год – 423 места, 2013 год – 75, 2014 год - 5).</w:t>
      </w:r>
      <w:r w:rsidR="004D4354"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В 2015 году запланировано строительство двух детских садов на 90 мест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с. Невьянское и 90 мест в с. Костино. Ввод в эксплуатацию дошкольных учреждений запланирован в сентябре 2015 года.</w:t>
      </w:r>
    </w:p>
    <w:p w:rsidR="004D4354" w:rsidRPr="004D4354" w:rsidRDefault="004D4354" w:rsidP="00B520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результате реализации запланированных мероприятий доля детей в возрасте 1 - 6  лет, получающих дошкольную образовательную услугу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и услугу по их содержанию в муниципальных образовательных учреждениях в общей численности детей в возрасте 1 - 6 лет увеличится к 2018 году до 95,0 %.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i/>
          <w:noProof/>
          <w:color w:val="FF6600"/>
          <w:sz w:val="24"/>
          <w:szCs w:val="24"/>
        </w:rPr>
        <w:lastRenderedPageBreak/>
        <w:drawing>
          <wp:inline distT="0" distB="0" distL="0" distR="0" wp14:anchorId="21C1C6F6" wp14:editId="21FA85E3">
            <wp:extent cx="5876925" cy="1828800"/>
            <wp:effectExtent l="0" t="0" r="0" b="0"/>
            <wp:docPr id="11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4D4354" w:rsidRPr="004D4354" w:rsidRDefault="004D4354" w:rsidP="004D435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К 2016 году планируется достичь значение показателя «Доля детей в возрасте 1 – 6 лет, состоящих на учете для определения в муниципальные дошкольные образовательные учреждения, в общей численности детей в возрасте 1 – 6 лет»  до 7%.</w:t>
      </w:r>
    </w:p>
    <w:p w:rsidR="004D4354" w:rsidRPr="004D4354" w:rsidRDefault="004D4354" w:rsidP="004D435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noProof/>
          <w:color w:val="FF6600"/>
          <w:sz w:val="24"/>
          <w:szCs w:val="24"/>
        </w:rPr>
        <w:drawing>
          <wp:inline distT="0" distB="0" distL="0" distR="0" wp14:anchorId="22EF29FC" wp14:editId="4C2A7E31">
            <wp:extent cx="5534025" cy="1828800"/>
            <wp:effectExtent l="0" t="0" r="0" b="0"/>
            <wp:docPr id="12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4D4354" w:rsidRPr="004D4354" w:rsidRDefault="004D4354" w:rsidP="004D435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Доля муниципальных дошкольных образовательных учреждений, здания которых находятся в аварийном состоянии или требуют капитального ремонта, в  общем числе муниципальных дошкольных образовательных учреждений в 2014 году составила 11,5 %.</w:t>
      </w:r>
    </w:p>
    <w:p w:rsidR="004D4354" w:rsidRPr="004D4354" w:rsidRDefault="004D4354" w:rsidP="00B520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рамках муниципальной программы «Развитие образования в муниципальном образовании Алапаевское («Наша новая школа») на 2012-2016 годы»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в 2014 году выполнен капитальный ремонт 3 – х детских садов: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МДОУ «Детский сад №</w:t>
      </w:r>
      <w:r w:rsidR="00B52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22 </w:t>
      </w:r>
      <w:r w:rsidR="00B5202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р.п. Верхняя Синячиха» выполнен ремонт медицинского кабинета (замена сантехники, электропроводки, окон), в МДОУ «Детский сад №19 р.п. Верхняя Синячиха» выполнена замена электропроводки, в филиале МКДОУ «Детский сад п. Заря» - Голубковский детский сад выполнена замена деревянных оконных блоков на ПВХ (22 окна).</w:t>
      </w:r>
    </w:p>
    <w:p w:rsidR="004D4354" w:rsidRPr="004D4354" w:rsidRDefault="004D4354" w:rsidP="004D435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2015 году планируется проведение капитального ремонта в одном детском саду.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sz w:val="24"/>
          <w:szCs w:val="24"/>
        </w:rPr>
        <w:t>Раздел 3. Общее и дополнительное образование</w:t>
      </w: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4354" w:rsidRPr="004D4354" w:rsidRDefault="004D4354" w:rsidP="004D435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в 2014 году составила 100 %.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За три последних года доля выпускников муниципальных общеобразовательных учреждений, сдавших единый государственный экзамен по русскому языку и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математике стабилизируется.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В 2011 году сдали экзамены по математике и русскому языку 95,6% (2 человека из 45 не сдали); в 2012 году сдали ЕГЭ по русскому языку и математике 104 выпускника из 105, заявившихся на ЕГЭ, что составляет 99,5%, в 2013 году сдали экзамены по математике и русскому языку 100%, в 2014 году сдали экзамены по математике и русскому языку 100%.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noProof/>
          <w:color w:val="FF6600"/>
          <w:sz w:val="24"/>
          <w:szCs w:val="24"/>
        </w:rPr>
        <w:lastRenderedPageBreak/>
        <w:drawing>
          <wp:inline distT="0" distB="0" distL="0" distR="0" wp14:anchorId="1537E8E2" wp14:editId="1CEDD9BB">
            <wp:extent cx="5895975" cy="2028825"/>
            <wp:effectExtent l="0" t="0" r="0" b="0"/>
            <wp:docPr id="13" name="Объект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4D4354" w:rsidRPr="004D4354" w:rsidRDefault="004D4354" w:rsidP="00B520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в 2014 году составила – 0%.</w:t>
      </w:r>
    </w:p>
    <w:p w:rsidR="004D4354" w:rsidRPr="004D435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Выпускники, не сдавшие единый государственный экзамен хотя бы по одному предмету (русский язык и математика),  не получают аттестаты о среднем (полном) образовании.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Не получают аттестаты также выпускники, не допущенные к государственной (итоговой) аттестации.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В 2011 году - 2 человека (4,4%) из 45 выпускников, в 2012 году – 1 человек из 105 выпускников (1%). В 2013 году –  99  выпускников (100%)  получили аттестаты, в 2014 году – 83 выпускника (100%). </w:t>
      </w:r>
    </w:p>
    <w:p w:rsidR="004D4354" w:rsidRPr="004D4354" w:rsidRDefault="004D4354" w:rsidP="00B520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Общеобразовательными учреждениями осуществлялась работа по профориентационной деятельности обучающихся совместно с родителями с целью выявления реального уровня жизненных притязаний ребенка с учетом анализа ситуации на рынке труда, чтобы выпускники осознанно выбирали дальнейший уровень образования после освоения программы основного общего образования (10 класс или средне -специальные учреждения образования).</w:t>
      </w:r>
    </w:p>
    <w:p w:rsidR="004D4354" w:rsidRPr="004D4354" w:rsidRDefault="004D4354" w:rsidP="00B520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noProof/>
          <w:color w:val="FF6600"/>
          <w:sz w:val="24"/>
          <w:szCs w:val="24"/>
        </w:rPr>
        <w:drawing>
          <wp:inline distT="0" distB="0" distL="0" distR="0" wp14:anchorId="25662267" wp14:editId="5A429FCF">
            <wp:extent cx="5372100" cy="2381250"/>
            <wp:effectExtent l="0" t="0" r="0" b="0"/>
            <wp:docPr id="14" name="Объект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4D4354" w:rsidRPr="004D4354" w:rsidRDefault="004D4354" w:rsidP="00B520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в 2014 году составила 86 %, к 2018 году планируется увеличения показателя до 94%.</w:t>
      </w:r>
    </w:p>
    <w:p w:rsidR="004D4354" w:rsidRPr="004D4354" w:rsidRDefault="004D4354" w:rsidP="00B520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noProof/>
          <w:color w:val="FF6600"/>
          <w:sz w:val="24"/>
          <w:szCs w:val="24"/>
        </w:rPr>
        <w:lastRenderedPageBreak/>
        <w:drawing>
          <wp:inline distT="0" distB="0" distL="0" distR="0" wp14:anchorId="48F9B299" wp14:editId="2E456EBA">
            <wp:extent cx="5114925" cy="1828800"/>
            <wp:effectExtent l="0" t="0" r="0" b="0"/>
            <wp:docPr id="15" name="Объект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4D4354" w:rsidRPr="004D4354" w:rsidRDefault="004D4354" w:rsidP="00B520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 в 2014 году составила </w:t>
      </w:r>
      <w:r w:rsidR="00B5202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7,14 %.</w:t>
      </w:r>
    </w:p>
    <w:p w:rsidR="004D4354" w:rsidRPr="004D435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2014 году на капитальный ремонт помещений 6 общеобразовательных учреждений направлено 3208,1 тыс. руб., в том числе за счет средств местного бюджета - 1122,1 тыс. руб., из областного бюджета – 2087 тыс. руб. Выполнена замена деревянных оконных блоков на ПВХ: МОУ «ВССОШ №2» (17 окон), МОУ «ВССОШ №3» (44 окна); МКОУ «Голубковская СОШ» (35 окон). В МОУ «Невьянская СОШ» выполнен ремонт полов, МОУ «Костинская СОШ» выполнена замена дверных блоков в спортивном зале, в МОУ «Деевская СОШ» выполнено частичное ограждение территории школы.</w:t>
      </w:r>
    </w:p>
    <w:p w:rsidR="004D4354" w:rsidRPr="004D4354" w:rsidRDefault="004D4354" w:rsidP="00B520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2015 году планируется капитальный ремонт зданий, сооружений и помещений в двух общеобразовательных школах на сумму 1545,4 тыс. руб., в том числе за  счет средств областного бюджета – 557,4 тыс. руб., местного – 988 тыс. руб., в 2016 году планируется проведение капитального ремонта в одной общеобразовательной школе, в 2017 году – в одной общеобразовательной школе.</w:t>
      </w:r>
    </w:p>
    <w:p w:rsidR="004D4354" w:rsidRPr="004D4354" w:rsidRDefault="004D4354" w:rsidP="00B520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Доля детей первой и второй  групп здоровья в общей численности обучающихся в муниципальных общеобразовательных учреждениях в 2014 году составила 86,6%.</w:t>
      </w:r>
    </w:p>
    <w:p w:rsidR="004D4354" w:rsidRPr="004D4354" w:rsidRDefault="004D4354" w:rsidP="00B520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noProof/>
          <w:color w:val="FF6600"/>
          <w:sz w:val="24"/>
          <w:szCs w:val="24"/>
        </w:rPr>
        <w:drawing>
          <wp:inline distT="0" distB="0" distL="0" distR="0" wp14:anchorId="38B59290" wp14:editId="28C4729C">
            <wp:extent cx="4972050" cy="1847850"/>
            <wp:effectExtent l="0" t="0" r="0" b="0"/>
            <wp:docPr id="16" name="Объект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4D4354" w:rsidRPr="004D4354" w:rsidRDefault="004D4354" w:rsidP="00B520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B5202F" w:rsidP="00B5202F">
      <w:pPr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2018 году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планируется достичь значение показателя до 87%.</w:t>
      </w:r>
      <w:r w:rsidR="004D4354"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Увеличение значения показателя обеспечено за счет проведения профилактических мероприятий,</w:t>
      </w:r>
      <w:r w:rsidR="004D4354"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определённых в программах по комплексной безопасности образовательных учреждений и воспитанию культуры здорового образа жизни подрастающего поколения. </w:t>
      </w:r>
    </w:p>
    <w:p w:rsidR="004D4354" w:rsidRPr="004D4354" w:rsidRDefault="004D4354" w:rsidP="00B5202F">
      <w:pPr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Образовательные учреждения основные усилия направляют на реализацию мероприятий по снижению влияния неблагоприятных внутришкольных факторов, связанных с организацией учебного процесса.  Расписание учебных занятий образовательных учреждений на начало учебного года согласовываются с Роспотребнадзором  в части гигиенических требований к режиму образовательного процесса.</w:t>
      </w:r>
    </w:p>
    <w:p w:rsidR="004D4354" w:rsidRPr="004D435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С сентября 2011 года в федеральный компонент  учебных планов школ включен третий час физической культуры. В компонент образовательных учреждений включены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lastRenderedPageBreak/>
        <w:t>предметы «Ритмика», «Подвижные игры», «Азбука здоровья», «Здоровый образ жизни», «Спортивные игры».  Большое внимание в образовательных учреждениях уделяется приобщению к здоровому образу жизни детей через внешкольную работу - проведение спортивных мероприятий и соревнований: первомайская эстафета, кросс нации, соревнования по пулевой стрельбе, волейболу, баскетболу, футболу.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На базе 17 общеобразовательных учреждений ведётся 61 спортивная секция ДЮСШ по 15 видам спорта.</w:t>
      </w:r>
    </w:p>
    <w:p w:rsidR="004D4354" w:rsidRPr="004D435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 в 2014 году составила 3,11%,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="00B5202F">
        <w:rPr>
          <w:rFonts w:ascii="Times New Roman" w:eastAsia="Times New Roman" w:hAnsi="Times New Roman" w:cs="Times New Roman"/>
          <w:sz w:val="24"/>
          <w:szCs w:val="24"/>
        </w:rPr>
        <w:t xml:space="preserve">в 2011 году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- 5,4%. В 2014 году во вторую смену обучалось 87 детей (МОУ «Верхнесинячихинская СОШ № 2»).</w:t>
      </w:r>
    </w:p>
    <w:p w:rsidR="004D4354" w:rsidRPr="004D435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noProof/>
          <w:color w:val="FF6600"/>
          <w:sz w:val="24"/>
          <w:szCs w:val="24"/>
        </w:rPr>
        <w:drawing>
          <wp:inline distT="0" distB="0" distL="0" distR="0" wp14:anchorId="136D8B6A" wp14:editId="6C8A1295">
            <wp:extent cx="5715000" cy="1828800"/>
            <wp:effectExtent l="0" t="0" r="0" b="0"/>
            <wp:docPr id="17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4D4354" w:rsidRPr="004D435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B5202F" w:rsidRDefault="004D4354" w:rsidP="00B520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202F">
        <w:rPr>
          <w:rFonts w:ascii="Times New Roman" w:eastAsia="Times New Roman" w:hAnsi="Times New Roman" w:cs="Times New Roman"/>
          <w:b/>
          <w:sz w:val="24"/>
          <w:szCs w:val="24"/>
        </w:rPr>
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</w:r>
    </w:p>
    <w:p w:rsidR="004D4354" w:rsidRPr="004D4354" w:rsidRDefault="004D4354" w:rsidP="00B520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2014 году расходы бюджета на 1 обучающегося составили 95,4 тыс. рублей,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="00B5202F">
        <w:rPr>
          <w:rFonts w:ascii="Times New Roman" w:eastAsia="Times New Roman" w:hAnsi="Times New Roman" w:cs="Times New Roman"/>
          <w:sz w:val="24"/>
          <w:szCs w:val="24"/>
        </w:rPr>
        <w:t>в 2011 года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– 78,22 тыс. рублей.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 2018 году плановое значение показателя составит 102 тыс. рублей на 1 обучающегося.</w:t>
      </w:r>
    </w:p>
    <w:p w:rsidR="004D4354" w:rsidRPr="004D4354" w:rsidRDefault="004D4354" w:rsidP="00B520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B520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noProof/>
          <w:color w:val="FF6600"/>
          <w:sz w:val="24"/>
          <w:szCs w:val="24"/>
        </w:rPr>
        <w:drawing>
          <wp:inline distT="0" distB="0" distL="0" distR="0" wp14:anchorId="07F7DD5C" wp14:editId="4AF3D63B">
            <wp:extent cx="5800725" cy="1847850"/>
            <wp:effectExtent l="0" t="0" r="0" b="0"/>
            <wp:docPr id="18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4D4354" w:rsidRPr="004D4354" w:rsidRDefault="004D4354" w:rsidP="00B520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в 20</w:t>
      </w:r>
      <w:r w:rsidR="00B5202F">
        <w:rPr>
          <w:rFonts w:ascii="Times New Roman" w:eastAsia="Times New Roman" w:hAnsi="Times New Roman" w:cs="Times New Roman"/>
          <w:sz w:val="24"/>
          <w:szCs w:val="24"/>
        </w:rPr>
        <w:t>14 году составила 72%, в 2013 год – 69%, 2012 год – 67,4%, 2011 год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– 64,1%.</w:t>
      </w:r>
    </w:p>
    <w:p w:rsidR="004D4354" w:rsidRPr="004D4354" w:rsidRDefault="004D4354" w:rsidP="00B520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Детско-юношеской спортивной школе</w:t>
      </w:r>
      <w:r w:rsidR="00B5202F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Алапаевское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организована образовательная деятельность по дополнительным видам спорта: греко-римская борьба, пулевая стрельба, пауэрлифтинг, плавание.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</w:p>
    <w:p w:rsidR="004D4354" w:rsidRPr="004D4354" w:rsidRDefault="004D4354" w:rsidP="00B520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B5202F">
        <w:rPr>
          <w:rFonts w:ascii="Times New Roman" w:eastAsia="Times New Roman" w:hAnsi="Times New Roman" w:cs="Times New Roman"/>
          <w:sz w:val="24"/>
          <w:szCs w:val="24"/>
        </w:rPr>
        <w:t>2014 году открыт физкультурно-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оздоровительный комплекс </w:t>
      </w:r>
      <w:r w:rsidR="00B5202F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Алапаевское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в р.п. Верхняя Синячиха, в связи с этим привлечены специалисты по разным видам спорта и как следствие увеличена численность детей, получающих услуги по дополнительному образованию. К 2018 году плановое значение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lastRenderedPageBreak/>
        <w:t>показателя составит не менее 75,5%.</w:t>
      </w:r>
    </w:p>
    <w:p w:rsidR="004D4354" w:rsidRPr="004D435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B520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sz w:val="24"/>
          <w:szCs w:val="24"/>
        </w:rPr>
        <w:t>Раздел 4.  Культура</w:t>
      </w:r>
    </w:p>
    <w:p w:rsidR="004D4354" w:rsidRPr="004D4354" w:rsidRDefault="004D4354" w:rsidP="00B520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Отрасль «Культура» муниципального образования Алапаевское представляли:</w:t>
      </w:r>
    </w:p>
    <w:p w:rsidR="004D4354" w:rsidRPr="004D435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1. Культурно – досуговая деятельность – 5 муниципальных бюджетных учреждений культуры, в состав которых входят 13 Домов культуры, 16 сельских клубов, 4 автоклуба. </w:t>
      </w:r>
    </w:p>
    <w:p w:rsidR="004D4354" w:rsidRPr="004D435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Норматив обеспеченности учреждениями культуры, в том числе клубами и учреждениями клубного типа, утвержденный Постановлением Правительств</w:t>
      </w:r>
      <w:r w:rsidR="00B5202F">
        <w:rPr>
          <w:rFonts w:ascii="Times New Roman" w:eastAsia="Times New Roman" w:hAnsi="Times New Roman" w:cs="Times New Roman"/>
          <w:sz w:val="24"/>
          <w:szCs w:val="24"/>
        </w:rPr>
        <w:t xml:space="preserve">а Свердловской области от 14 июня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2011</w:t>
      </w:r>
      <w:r w:rsidR="00B5202F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№ 728 составляет 35 ед., фактически в муниципальном образовании – 33 ед.</w:t>
      </w:r>
    </w:p>
    <w:p w:rsidR="004D4354" w:rsidRPr="004D435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2. Библиотечное дело – Муниципальное бюджетное учреждение культуры «Централизованная библиотечная система»</w:t>
      </w:r>
      <w:r w:rsidR="00B5202F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Алапаевское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, в состав которого входят центральная библиотека и 18 библиотек – филиалов: 16 сельских библиотек, Верхнесинячихинская поселковая и Верхнесинячихинская детская библиотеки.</w:t>
      </w:r>
    </w:p>
    <w:p w:rsidR="004D4354" w:rsidRPr="004D4354" w:rsidRDefault="00B5202F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Музейное дело – Муниципальное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 автономное учреждение культуры «Верхнесинячихинское музейное объединение» муниципального образования Алапаевское, в составе которого: Верхнесинячихинский краеведческий музей (головной музей объединения); Арамашевский краеведческий музей; Голубковский историко – этнографический музей; Костинский историко – художественный музей; Деевский музей народных промыслов и ремесел (создан в 2014 году); музей истории Алапаевской узкоколейной железной дороги (создан в 2014 году).</w:t>
      </w:r>
    </w:p>
    <w:p w:rsidR="004D4354" w:rsidRPr="004D4354" w:rsidRDefault="001720D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2014 году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 7 учреждений культуры перешли на новые формы правового положения путем изменения типа учреждения: 6 – из казенных учреждений перешли в бюджетные учреждения; 1 – из бюджетных в автономное.</w:t>
      </w:r>
    </w:p>
    <w:p w:rsidR="004D4354" w:rsidRPr="004D435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В течение года клубными учреждениями подготовлено и проведено 5460 мероприятий. </w:t>
      </w:r>
    </w:p>
    <w:p w:rsidR="004D4354" w:rsidRPr="004D435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Доля муниципальных учреждений культуры, здания которых находятся в аварийном состоянии или требуют капитального ремонта в 2014 году составила 1,67 %.</w:t>
      </w:r>
    </w:p>
    <w:p w:rsidR="004D4354" w:rsidRPr="004D4354" w:rsidRDefault="004D4354" w:rsidP="00B520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муниципального образования 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 xml:space="preserve">Алапаевское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расположено 53 объекта культурного наследия.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В 2014 году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установлена мемориальная доска комсомольцам, расстрелянным белогвардейцами в 1918 году на р. Межная.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В 2015 году во всех сельских и поселковой администрациях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муниципального образования Алапаевское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запланированы финансовые средства на ремонты объектов культурного наследия.</w:t>
      </w:r>
    </w:p>
    <w:p w:rsidR="004D4354" w:rsidRPr="004D435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 в 2014 году составила – 75%.</w:t>
      </w:r>
    </w:p>
    <w:p w:rsidR="004D4354" w:rsidRPr="004D435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noProof/>
          <w:color w:val="FF6600"/>
          <w:sz w:val="24"/>
          <w:szCs w:val="24"/>
        </w:rPr>
        <w:drawing>
          <wp:inline distT="0" distB="0" distL="0" distR="0" wp14:anchorId="076E7E0A" wp14:editId="34E5E8A0">
            <wp:extent cx="5467350" cy="1828800"/>
            <wp:effectExtent l="0" t="0" r="0" b="0"/>
            <wp:docPr id="19" name="Объект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4D4354" w:rsidRPr="004D435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lastRenderedPageBreak/>
        <w:t>В рамках реализации муниципальной программы  «Развитие культуры в муниципальном образовании Алапаевское» на 2012 – 2016 годы» в 2014 году выполнен ремонт Заринского Дома культуры (ремонт зала, пола, потолка, стен; заменены окна, три дверных блока, установлены прожектора) - 1720,2 тыс. руб. (местный бюджет); ремонт Костинского Дома культуры (ремонт кровли, внутреннего помещения, частично выполнен ремонт фасада, отмостки, выполнена замена дверных и оконных блоков) - 1791,5 тыс. руб. (местный бюджет), 4837,7 тыс. руб. (областной бюджет).</w:t>
      </w:r>
    </w:p>
    <w:p w:rsidR="004D4354" w:rsidRPr="004D435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2014 году в рамках муниципальной программы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«Информационное общество муниципального образования Алапаевское» на 2011 – 2015 годы»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организованы центры общественного доступа к сети интернет на базе муниципальных библиотек (Деевская, Костинская, Невьянская, Ялунинская, Коптеловская, Кировская, Заринская, Ясашинская). 16 библиотек (84%) оснащены компьютерной техникой, в том числе 12 имеют доступ к сети Интернет.</w:t>
      </w:r>
    </w:p>
    <w:p w:rsidR="004D4354" w:rsidRPr="004D435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МБУК «Централизованная библиотечная система»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Алапаевское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за счет средств местного бюджета приобретено 1225 экз. книг, в том числе в сельские филиалы – 924 экз. книг.</w:t>
      </w:r>
    </w:p>
    <w:p w:rsidR="004D4354" w:rsidRPr="004D435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Муниципальные учреждения культуры принимали участие в конкурсах на получение государственной поддержки в форме грантов:</w:t>
      </w:r>
    </w:p>
    <w:p w:rsidR="001720D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Областном конкурсе на получение денежного поощрения лучшим муниципальным учреждениям культуры, находящимся на территории сельских поселений в Свердловской обл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 xml:space="preserve">асти. Победителями стали: </w:t>
      </w:r>
    </w:p>
    <w:p w:rsidR="001720D4" w:rsidRDefault="001720D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В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 номинации «Лучшие муниципальные учреждения культуры» по направлению «Культурно – досуговая деятельность» МУК «Коптеловское клубное объединение»,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 «Центральный Дом культуры». </w:t>
      </w:r>
    </w:p>
    <w:p w:rsidR="004D4354" w:rsidRPr="004D4354" w:rsidRDefault="001720D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В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 номинации «Лучшие работники муниципальных учреждений культуры» по направлению «Музейное дело»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И.В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Ялунина, зав</w:t>
      </w:r>
      <w:r>
        <w:rPr>
          <w:rFonts w:ascii="Times New Roman" w:eastAsia="Times New Roman" w:hAnsi="Times New Roman" w:cs="Times New Roman"/>
          <w:sz w:val="24"/>
          <w:szCs w:val="24"/>
        </w:rPr>
        <w:t>едующая Голубковского историко-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этнографического музея, а также коллективы: народный коллектив любительского художественного творчества фольклорно – этнографический ансамбль «Складыня» Коптеловского Дома культуры, ансамбль «Русская песня» МУК «Центральный Дом культуры». Общий объем денежных поощрений и гратов в 2014 году составил 650 тыс. руб.</w:t>
      </w:r>
    </w:p>
    <w:p w:rsidR="004D4354" w:rsidRPr="004D435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соответствии с Указом Президента Р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 xml:space="preserve">оссийской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Ф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>едерации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, в целях привлечения внимания общества к вопросам развития культуры, сохранения культурно – исторического наследия на территории муниципального образования разработан план основных мероприяти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>й по проведению в 2014 году в муниципальном образовании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Алапаевское Года культуры, утвержденный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постановлением Администрации муниципального образования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Алапаевск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 xml:space="preserve">ое от 23 августа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2013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№ 611. </w:t>
      </w:r>
    </w:p>
    <w:p w:rsidR="004D4354" w:rsidRPr="004D4354" w:rsidRDefault="004D4354" w:rsidP="00B52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sz w:val="24"/>
          <w:szCs w:val="24"/>
        </w:rPr>
        <w:t>Раздел 5.  Физическая культура и спорт</w:t>
      </w:r>
    </w:p>
    <w:p w:rsidR="004D4354" w:rsidRPr="004D4354" w:rsidRDefault="004D4354" w:rsidP="004D435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2014 году физкультурно-оздоровительной работой занимались 31 учреждение муниципального образования Алапаевское: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9 – дошкольных образовательных учреждений;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17 – общеобразовательных учреждений;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1 – государственное автономное образовательное учреждение среднего профессионального образования Свердловской области «Верхнесинячихинский агропромышленный техникум»;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1 – муниципальное образовательное учреждение дополнительного образования детей «Детско-юношеская спортивная школа» муниципального образования Алапаевское;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1 – муниципальное бюджетное учреждение «Физкультурно-спортивный клуб «Урожай» муниципального образования Алапаевское в структуру, которого входят 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8 физкультурно-спортивных клубов по видам спорта;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lastRenderedPageBreak/>
        <w:t>1- муниципальное бюдже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>тное учреждение «Физкультурно-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спортивный центр» муниципального образования Алапаевское;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1- государственное казенное образовательное учреждение Свердловско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 xml:space="preserve">й области «Верхнесинячихинская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специальная коррекционная школа – интернат» для детей с ограниченными возможностями в здоровье (восьмого вида).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Численность населения систематически занимающихся физической культурой и спорто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>м ежегодно увеличивается: 2011 год – 3445 чел., 2012 год – 3567 чел., 2013 год – 5000 чел., 2014 год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– 7485 чел.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Доля населения, систематически занимающегося физической культурой и спортом, в 2014 году составила 29,4 %.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noProof/>
          <w:color w:val="FF6600"/>
          <w:sz w:val="24"/>
          <w:szCs w:val="24"/>
        </w:rPr>
        <w:drawing>
          <wp:inline distT="0" distB="0" distL="0" distR="0" wp14:anchorId="47B7D8EF" wp14:editId="730A18D8">
            <wp:extent cx="4943475" cy="1847850"/>
            <wp:effectExtent l="0" t="0" r="0" b="0"/>
            <wp:docPr id="20" name="Объект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спортивной отрасли  работает 81 человек: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5 инструкторов по физическому воспитанию в дошкольных образовательных учреждениях;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20 учителей  физической культуры в общеобразовательных учреждениях;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2 преподавателя физической культуры в государственном автономном образовательном учреждении среднего профессионального образования Свердловской области «Верхнесинячихинский агропромышленный техникум»;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2 учителя по физической культуре в государственном  казенном образовательном учреждении Свердловской области «Верхнесинячихинская  специальная коррекционная школа – интернат» для детей с ограниченными возможностями в здоровье (восьмого вида);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22 тренера – преподавателя в муниципальном образовательном учреждении дополнительн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>ого образования детей «Детско-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юношеская спортивная школа» муниципального образования Алапаевское;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17 инструкторов физической культуры спортивных сооружений 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(МБУ «Физкульт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>урно-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спортив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>ный центр» муниципального образования Алапаевское, МБУ «Физкультурно-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спортивный клуб «Урожай»);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5 инструкторов по месту жительства (МБУ «Физкультурно-спортивный клуб «Урожай»);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5 сотру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>дников аппаратов физкультурно-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спортивных организаций;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3 сотрудника отдела физической культуры, спорта и мол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>одежной политики Администрации муниципального образования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Алапаевское.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2014 году проведено 140 спорти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>вно – массовых и физкультурно-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оздоровительных мероприятий различного уровня, в которых приняло участие 16300 человек.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4"/>
        <w:gridCol w:w="1909"/>
        <w:gridCol w:w="1909"/>
        <w:gridCol w:w="1909"/>
        <w:gridCol w:w="1909"/>
      </w:tblGrid>
      <w:tr w:rsidR="004D4354" w:rsidRPr="004D4354" w:rsidTr="004D4354"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участников, чел.</w:t>
            </w:r>
          </w:p>
        </w:tc>
      </w:tr>
      <w:tr w:rsidR="004D4354" w:rsidRPr="004D4354" w:rsidTr="004D435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354" w:rsidRPr="004D4354" w:rsidRDefault="004D4354" w:rsidP="004D4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1720D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2011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  <w:r w:rsidR="00172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1720D4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  <w:r w:rsidR="00172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1720D4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  <w:r w:rsidR="00172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1720D4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</w:p>
        </w:tc>
      </w:tr>
      <w:tr w:rsidR="004D4354" w:rsidRPr="004D4354" w:rsidTr="004D435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мероприятий </w:t>
            </w: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муниципального значения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4D4354" w:rsidRPr="004D4354" w:rsidTr="004D435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Количество участников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15440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14507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15538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54" w:rsidRPr="004D4354" w:rsidRDefault="004D4354" w:rsidP="004D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354">
              <w:rPr>
                <w:rFonts w:ascii="Times New Roman" w:eastAsia="Times New Roman" w:hAnsi="Times New Roman" w:cs="Times New Roman"/>
                <w:sz w:val="24"/>
                <w:szCs w:val="24"/>
              </w:rPr>
              <w:t>16300</w:t>
            </w:r>
          </w:p>
        </w:tc>
      </w:tr>
    </w:tbl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1720D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Сборные команды муниципального образования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 Алапаевское и спортсмены по видам спорта приняли участи в 151 спортивном мероприятии различного уровня, в которых участвовало 1952 человека.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Подготовлено 126 спортсменов массовых спортивных разрядов (2,3 и юношеский разрядов). 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мероприятии «Кросс Наций» приняли участие – 4985 чел., «Лыжня России» - 3530 чел.</w:t>
      </w:r>
    </w:p>
    <w:p w:rsidR="004D4354" w:rsidRPr="004D4354" w:rsidRDefault="001720D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территории муниципального образования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 Алапаевское в 5 раз прошел областной сельский фестиваль по видам спорта (легкая атлетика, игровые виды спорта: стритбол, волейбол; городошный спорт, гири). 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Ежегодно проводятся областные конноспортивные соревнования, посвященные памяти Героя Советского Союза С. Устинова в селе Голубковское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 xml:space="preserve"> Алапаевского района Свердловской области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2014 году на реализацию муниципальной программы «Развитие физической культуры и массового спорта в муниципальном образовании Алапаевское» на 2012-2016 годы,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направлено из местного бюджета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10340,7 тыс. руб., из областного бюджета 18565,8 тыс. рублей. </w:t>
      </w:r>
    </w:p>
    <w:p w:rsidR="001720D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ab/>
        <w:t>28 февраля 2014г. введ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>ен в эксплуатацию физкультурно-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оздоровительный комплекс 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Алапаевское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с универсальным игровым залом и плавательным бассейном (р.п. Верхняя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 xml:space="preserve"> Синячиха). МБУ «Физкультурно-спортивный центр» муниципального образования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Алапаевское предоставляет услуги населению на двух спортив</w:t>
      </w:r>
      <w:r w:rsidR="001720D4">
        <w:rPr>
          <w:rFonts w:ascii="Times New Roman" w:eastAsia="Times New Roman" w:hAnsi="Times New Roman" w:cs="Times New Roman"/>
          <w:sz w:val="24"/>
          <w:szCs w:val="24"/>
        </w:rPr>
        <w:t xml:space="preserve">ных объектах: </w:t>
      </w:r>
    </w:p>
    <w:p w:rsidR="001720D4" w:rsidRDefault="001720D4" w:rsidP="001720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Физкультурно-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оздоровительный комплекс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Алапаевское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 с универсальным игровым спортивным залом и плавательным ба</w:t>
      </w:r>
      <w:r>
        <w:rPr>
          <w:rFonts w:ascii="Times New Roman" w:eastAsia="Times New Roman" w:hAnsi="Times New Roman" w:cs="Times New Roman"/>
          <w:sz w:val="24"/>
          <w:szCs w:val="24"/>
        </w:rPr>
        <w:t>ссейном в р.п. Верхняя Синячиха Алапаевского района Свердловской области.</w:t>
      </w:r>
    </w:p>
    <w:p w:rsidR="004D4354" w:rsidRPr="004D4354" w:rsidRDefault="001720D4" w:rsidP="001720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Ф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утбольное поле с искусственным покрытием, беговой дорожкой на 5 полос, прыжковой ямой, трибунами для зрителей в р.п. Верхняя Синячиха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Алапаевского района Свердловской области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. На базе спортивного объекта организованы платные услуги: посещение бассейна, тренажерного зала, зала фитнеса, зала единоборств, сауны. Проводятся занятия свободного плавания, индивидуальные занятия с инструктором в плавательном бассейне и тренажерном зале, аквааэробика, курсы по обучению плаванию для разных групп населения: взрослых, детей, пенсионеров. Осуществляются различные акции, продажи со скидками, п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>раздничные предложения. В 2014 году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 спроектировано оборудование лифта пассажирского в Физкультурно-оздоровительном комплексе 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Алапаевское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для обеспечения доступности маломобильных групп населения.</w:t>
      </w:r>
    </w:p>
    <w:p w:rsidR="004D4354" w:rsidRPr="004D4354" w:rsidRDefault="002C4B07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23 декабря 2014 года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 введен в эксплуатацию хоккейный корт на территории р.п. Верхняя Синячиха (МОУ «Верхнесинячихинская СОШ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3).</w:t>
      </w:r>
    </w:p>
    <w:p w:rsidR="004D4354" w:rsidRPr="002C4B07" w:rsidRDefault="002C4B07" w:rsidP="004D435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4D4354" w:rsidRPr="002C4B07">
        <w:rPr>
          <w:rFonts w:ascii="Times New Roman" w:eastAsia="Times New Roman" w:hAnsi="Times New Roman" w:cs="Times New Roman"/>
          <w:sz w:val="24"/>
          <w:szCs w:val="24"/>
        </w:rPr>
        <w:t>Проблемные вопросы отрасли: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ab/>
      </w:r>
      <w:r w:rsidR="002C4B07">
        <w:rPr>
          <w:rFonts w:ascii="Times New Roman" w:eastAsia="Times New Roman" w:hAnsi="Times New Roman" w:cs="Times New Roman"/>
          <w:sz w:val="24"/>
          <w:szCs w:val="24"/>
        </w:rPr>
        <w:t>1.1. Н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едостаток  квалифицированных кадров (по адаптивной физической культуре, по зимним видам спорта).</w:t>
      </w:r>
    </w:p>
    <w:p w:rsidR="004D4354" w:rsidRPr="002C4B07" w:rsidRDefault="002C4B07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D4354" w:rsidRPr="002C4B07">
        <w:rPr>
          <w:rFonts w:ascii="Times New Roman" w:eastAsia="Times New Roman" w:hAnsi="Times New Roman" w:cs="Times New Roman"/>
          <w:sz w:val="24"/>
          <w:szCs w:val="24"/>
        </w:rPr>
        <w:t>Приоритетные направления и задачи отрасли «Физическая культура и спорт» на 2015 год:</w:t>
      </w:r>
    </w:p>
    <w:p w:rsidR="004D4354" w:rsidRPr="004D4354" w:rsidRDefault="002C4B07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2.1. Формирование у жителей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Алапаевское потребностей в физическом совершенствовании и укрепление здоровья: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ab/>
      </w:r>
      <w:r w:rsidR="002C4B07">
        <w:rPr>
          <w:rFonts w:ascii="Times New Roman" w:eastAsia="Times New Roman" w:hAnsi="Times New Roman" w:cs="Times New Roman"/>
          <w:sz w:val="24"/>
          <w:szCs w:val="24"/>
        </w:rPr>
        <w:t>2.1.1. В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2015 году планируется увеличить количество систематически занимающихся физической культурой и спортом с 29,4 % до 30 %, расширение сети услуг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lastRenderedPageBreak/>
        <w:t>по физкультурн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>о-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оздоровительным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и спортивным мероприятиям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при приобретении культурно – спортивного комплекса р.п. Верхняя Синячиха.</w:t>
      </w:r>
    </w:p>
    <w:p w:rsidR="004D4354" w:rsidRPr="004D4354" w:rsidRDefault="002C4B07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2.1.2. О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рганизовать и провести более 140 спортивно-массовых и оздоровительных мероприятий, к участию в которых планируется привлечь свыше 16 000 жителей (свыше 55 % </w:t>
      </w:r>
      <w:r>
        <w:rPr>
          <w:rFonts w:ascii="Times New Roman" w:eastAsia="Times New Roman" w:hAnsi="Times New Roman" w:cs="Times New Roman"/>
          <w:sz w:val="24"/>
          <w:szCs w:val="24"/>
        </w:rPr>
        <w:t>от общего количества населения).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ab/>
      </w:r>
      <w:r w:rsidR="002C4B07">
        <w:rPr>
          <w:rFonts w:ascii="Times New Roman" w:eastAsia="Times New Roman" w:hAnsi="Times New Roman" w:cs="Times New Roman"/>
          <w:sz w:val="24"/>
          <w:szCs w:val="24"/>
        </w:rPr>
        <w:t>2.1.3. С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овершенствование работы тренеров и ин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>структоров по месту жительства.</w:t>
      </w:r>
    </w:p>
    <w:p w:rsidR="004D4354" w:rsidRPr="004D4354" w:rsidRDefault="002C4B07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2.1.4. Р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азвитие и укрепление материально-технической базы физической культуры и спорта.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sz w:val="24"/>
          <w:szCs w:val="24"/>
        </w:rPr>
        <w:t>Раздел 6.  Жилищное строительство и обеспечение граждан жильем</w:t>
      </w: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Общая площадь жилых помещений в муниципальном о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бразовании Алапаевское на 01 января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2015 года (по форме № 1 – жилфонд) составила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610,2 тыс.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кв.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метров.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>отчетном году введено 4844 кв. метров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жилой площади, в том числе 1444 кв.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метров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– юридич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>ескими лицами, 3400 кв. метров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– индивидуальными застройщиками. 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Площадь земельных участков, представленных для строительства в расчете на 10 тыс. человек населения в 2014 году составила 9,9 гектаров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noProof/>
          <w:color w:val="FF6600"/>
          <w:sz w:val="24"/>
          <w:szCs w:val="24"/>
        </w:rPr>
        <w:drawing>
          <wp:inline distT="0" distB="0" distL="0" distR="0" wp14:anchorId="6568165F" wp14:editId="652F16BF">
            <wp:extent cx="5781675" cy="1895475"/>
            <wp:effectExtent l="0" t="0" r="0" b="0"/>
            <wp:docPr id="21" name="Объект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ab/>
        <w:t>На территории муниципального образования Алапаевское в 2014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реализовывалась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муниципальная программа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«Формирование жилищного фонда для переселения граждан из жилых помещений, признанных непригодными для проживания и (или) с высоким уровнем износа на территории муниципального образования Алапаевское» на 2014 – 2020 годы,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утвержденная постановлением Администрации муниципального образования Алапаевское от 24 марта 2014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№ 254.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В рамках программы в 2014 году начато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>строительство 48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-квартирного жилого дома по 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ул. Центральная, 7 в п. Курорт Самоцвет (из местного бюджета направлено 1776 тыс. руб., из областного бюджета - 10005,7 тыс. руб.). Выполнены работы по устройству котлована, выполнялся монтаж фундаментных блоков (выполнено - 3%), 50% строительных материалов завезено на объект строительства.</w:t>
      </w:r>
    </w:p>
    <w:p w:rsidR="004D4354" w:rsidRPr="004D4354" w:rsidRDefault="002C4B07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16 декабря 2014 года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 в р.п. Верхняя Синячиха ул. Октябрьск</w:t>
      </w:r>
      <w:r>
        <w:rPr>
          <w:rFonts w:ascii="Times New Roman" w:eastAsia="Times New Roman" w:hAnsi="Times New Roman" w:cs="Times New Roman"/>
          <w:sz w:val="24"/>
          <w:szCs w:val="24"/>
        </w:rPr>
        <w:t>ая, 34 введен в эксплуатацию 36-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квартирный дом для детей – сирот, общей площадью 2132 кв.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>етров.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D4354" w:rsidRPr="004D4354" w:rsidRDefault="004D4354" w:rsidP="004D435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bCs/>
          <w:color w:val="FF6600"/>
          <w:sz w:val="24"/>
          <w:szCs w:val="24"/>
        </w:rPr>
        <w:tab/>
      </w:r>
    </w:p>
    <w:p w:rsidR="004D4354" w:rsidRPr="004D4354" w:rsidRDefault="004D4354" w:rsidP="004D4354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sz w:val="24"/>
          <w:szCs w:val="24"/>
        </w:rPr>
        <w:t>Раздел 7.  Жилищно-коммунальное хозяйство</w:t>
      </w:r>
    </w:p>
    <w:p w:rsidR="004D4354" w:rsidRPr="004D4354" w:rsidRDefault="004D4354" w:rsidP="004D4354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Площадь муниципального жилищног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>о фонда  составляет 65 тыс. кв. метров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(10,7% от общего объема жилищного фонда).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Обеспеченность коммунальными системами:  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с центральным отоплением - 206,8 тыс.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кв.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метров  (33,9 % от общего объема);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с централизованным 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>водоснабжением – 279,9 тыс. кв. метров  (45,9 %);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с централизованным  водоотведением (канализацией) 222,7 тыс.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кв.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метров                              (36,4 %);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горячим водоснабжением 125,9 тыс.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кв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>. метров (20,6 %);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lastRenderedPageBreak/>
        <w:t>с газоснабжением 175,2 тыс.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кв.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м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>етров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(28,7%), централизованным 15,8 тыс.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кв.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метров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(2,6%),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дома с электрическими плитами 153,5 тыс.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кв.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метров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(25,2%).</w:t>
      </w:r>
    </w:p>
    <w:p w:rsidR="004D4354" w:rsidRPr="004D4354" w:rsidRDefault="004D4354" w:rsidP="002C4B07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Доля многоквартирных домов, в которых собственники помещений выбрали и реализуют один из способов управления многоквартирными домами в 2014 году составила 56,1 процента, в том числе управление товариществом собственников жилья (ТСЖ) 32,7 процента. </w:t>
      </w:r>
    </w:p>
    <w:p w:rsidR="004D4354" w:rsidRPr="004D4354" w:rsidRDefault="004D4354" w:rsidP="002C4B07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Основная доля жилищного фонда обслуживается управляющей организацией, выбранной по результатам проведенных Администрацией муниципального образования Алапаевское открытых конкурсов по отбору управляющей организации для управления многоквартирными домами, собственники помещений в которых не выбрали способ управления.</w:t>
      </w:r>
    </w:p>
    <w:p w:rsidR="004D4354" w:rsidRPr="004D4354" w:rsidRDefault="004D4354" w:rsidP="002C4B07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Снижение значения показателя доли многоквартирных домов, в которых собственники помещений выбрали и реализуют один из способов управления многоквартирными домами в 2014 году объясняется исключением из общего количества многоквартирных домов (в соответствии с рекомендациями по заполнению статистической отчетности по форме 22 – ЖКХ), домов блокированной застройки, аварийного жилищного фонда и общежитий, не имеющих статуса многоквартирного дома.</w:t>
      </w:r>
    </w:p>
    <w:p w:rsidR="004D4354" w:rsidRPr="004D4354" w:rsidRDefault="004D4354" w:rsidP="002C4B07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Ветхий жилищный фонд муниципального образования Алапаевское составляет 2,2% от общей площади жилых помещений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(13,6 тыс.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кв.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метров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) из них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="002C4B07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                                   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>49-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многоквартирных  жилых дома  (11,1 тыс.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кв.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метров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и 51 индивидуальный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(2,5 тыс.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кв.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метров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аварийный 2,5 процента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(15,3 тыс.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кв.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метров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>– 82-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многоквартирных жилых дома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(14,1 тыс.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кв.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метров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) и  33 индивидуальных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(1,2 тыс.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кв.</w:t>
      </w:r>
      <w:r w:rsidR="002C4B07">
        <w:rPr>
          <w:rFonts w:ascii="Times New Roman" w:eastAsia="Times New Roman" w:hAnsi="Times New Roman" w:cs="Times New Roman"/>
          <w:sz w:val="24"/>
          <w:szCs w:val="24"/>
        </w:rPr>
        <w:t xml:space="preserve"> метров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Управление и содержание жилищным фондом на территории муниципалитета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в отчетном  году осуществляли: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ОАО «Областная Управляющая  жилищная  компания» -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136,5 тыс.м</w:t>
      </w:r>
      <w:r w:rsidRPr="004D435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4D4354">
        <w:rPr>
          <w:rFonts w:ascii="Times New Roman" w:eastAsia="Times New Roman" w:hAnsi="Times New Roman" w:cs="Times New Roman"/>
          <w:sz w:val="24"/>
          <w:szCs w:val="24"/>
          <w:vertAlign w:val="subscript"/>
        </w:rPr>
        <w:t>,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  <w:vertAlign w:val="subscript"/>
        </w:rPr>
        <w:t xml:space="preserve"> 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«МУП Коммунальные системы» - 9,0 тыс.м</w:t>
      </w:r>
      <w:r w:rsidRPr="004D435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  <w:vertAlign w:val="subscript"/>
        </w:rPr>
        <w:t xml:space="preserve">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и ООО «Региональная управляющая компания» - 7 тыс.м</w:t>
      </w:r>
      <w:r w:rsidRPr="004D435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4D4354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 .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Организованы и осуществляют деятельность 19 ТСЖ – 64,4 тыс.</w:t>
      </w:r>
      <w:r w:rsidR="00BC2C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кв.</w:t>
      </w:r>
      <w:r w:rsidR="00BC2C32">
        <w:rPr>
          <w:rFonts w:ascii="Times New Roman" w:eastAsia="Times New Roman" w:hAnsi="Times New Roman" w:cs="Times New Roman"/>
          <w:sz w:val="24"/>
          <w:szCs w:val="24"/>
        </w:rPr>
        <w:t xml:space="preserve"> метров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Из них 16 ТСЖ созданы в р.п. Верхняя Синячиха. Доля ТСЖ от общей площади многоквартирных домов составляет 18,5%.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соответствии с Региональной программой капитального ремонта общего имущества в многоквартирных домах Свердловской области на 2015 – 2044 годы, утвержденной постановлением Правительств</w:t>
      </w:r>
      <w:r w:rsidR="00BC2C32">
        <w:rPr>
          <w:rFonts w:ascii="Times New Roman" w:eastAsia="Times New Roman" w:hAnsi="Times New Roman" w:cs="Times New Roman"/>
          <w:sz w:val="24"/>
          <w:szCs w:val="24"/>
        </w:rPr>
        <w:t xml:space="preserve">а Свердловской области от 22 апреля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2014 года №</w:t>
      </w:r>
      <w:r w:rsidR="00BC2C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30</w:t>
      </w:r>
      <w:r w:rsidR="00BC2C32">
        <w:rPr>
          <w:rFonts w:ascii="Times New Roman" w:eastAsia="Times New Roman" w:hAnsi="Times New Roman" w:cs="Times New Roman"/>
          <w:sz w:val="24"/>
          <w:szCs w:val="24"/>
        </w:rPr>
        <w:t>5-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ПП, по муниципальному образованию Алапаевское предусмотрен ремонт в 167 многоквартирных домах, в том числе на 2015 – 2017 годы – 16 домов, общей площадью 13,2 тыс.</w:t>
      </w:r>
      <w:r w:rsidR="00BC2C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кв.</w:t>
      </w:r>
      <w:r w:rsidR="00BC2C32">
        <w:rPr>
          <w:rFonts w:ascii="Times New Roman" w:eastAsia="Times New Roman" w:hAnsi="Times New Roman" w:cs="Times New Roman"/>
          <w:sz w:val="24"/>
          <w:szCs w:val="24"/>
        </w:rPr>
        <w:t xml:space="preserve"> метров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в сельских населенных пунктах: с. Арамашево – 1 дом, </w:t>
      </w:r>
      <w:r w:rsidR="00BC2C32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п. Бубчиково –</w:t>
      </w:r>
      <w:r w:rsidR="00BC2C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6 домов, п. Курорт Самоцвет – 4 дома, с. Невьянское – 2 дома; с. Нижняя Синячиха – 1 дом, с. Коптелово – 1 дом, п. Каменский – 1 дом.   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декабре 2014 года Администрацией муниципального образования Алапаевское был организован и проведен открытый конкурс по отбору управляющих организаций на право заключения договора на управление многоквартирными домами, в связи с окончанием срока действия договора в декабре 2014 года с ОАО «Областная управляющая компания». Победитель конкурса – ООО «Районная управляющая жилищная компания».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Всего в муниципальном образовании Алапаевское объекты жилищно – коммунальной инфраструктуры и социально – культурного значения отапливают 77 котельных, из них муниципальных – 11, государственных – 40, ведомственных – 6. В работе – 55 котельных (из них: муниципальных – 11, государственных – 38, ведомственных – 6).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Из общего количества работающих по видам топлива: угольных – 7 ед., газовых – 12 ед., дровяных – 9 ед., электрокотельных – 27 ед.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lastRenderedPageBreak/>
        <w:t>Годовая потребность в топливе составляет: уголь – 3,6 тыс. тонн (100 дневный за</w:t>
      </w:r>
      <w:r w:rsidR="00BC2C32">
        <w:rPr>
          <w:rFonts w:ascii="Times New Roman" w:eastAsia="Times New Roman" w:hAnsi="Times New Roman" w:cs="Times New Roman"/>
          <w:sz w:val="24"/>
          <w:szCs w:val="24"/>
        </w:rPr>
        <w:t>пас составляет 1,658 тыс. куб. метров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); газ – 12,367 млн. куб.</w:t>
      </w:r>
      <w:r w:rsidR="00BC2C32">
        <w:rPr>
          <w:rFonts w:ascii="Times New Roman" w:eastAsia="Times New Roman" w:hAnsi="Times New Roman" w:cs="Times New Roman"/>
          <w:sz w:val="24"/>
          <w:szCs w:val="24"/>
        </w:rPr>
        <w:t xml:space="preserve"> метров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; дрова – 5,46 тыс. куб.</w:t>
      </w:r>
      <w:r w:rsidR="00BC2C32">
        <w:rPr>
          <w:rFonts w:ascii="Times New Roman" w:eastAsia="Times New Roman" w:hAnsi="Times New Roman" w:cs="Times New Roman"/>
          <w:sz w:val="24"/>
          <w:szCs w:val="24"/>
        </w:rPr>
        <w:t xml:space="preserve"> метров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, электроэнергия – 3,4 млн. кВт. час. 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2014 году раз</w:t>
      </w:r>
      <w:r w:rsidR="00BC2C32">
        <w:rPr>
          <w:rFonts w:ascii="Times New Roman" w:eastAsia="Times New Roman" w:hAnsi="Times New Roman" w:cs="Times New Roman"/>
          <w:sz w:val="24"/>
          <w:szCs w:val="24"/>
        </w:rPr>
        <w:t>работана схема теплоснабжения муниципального образования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Алапаевское. Жалоб от потребителей тепловой энергии на низкое качество, оказываемых услуг исполнителями коммунальных услуг не зарегистрировано.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Водоснабжение и канализацию населенных  пунктов муниципального  образования Алапаевское обеспечивают 44 водозабора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и  48 насосных станций водопровода,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все они являются муниципальными.  Общая протяженность водопроводных сетей - 125,7 км.;  канализационных 20 км. 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2014 году в с. Арамашево выполнена реконструкция водонапорной башни,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реконструкция сети водоснабжения с заменой запорной арматуры (водозаборная скважина – шоссе (АЗС)); в с. Коптелово выполнена реконструкция станции водозабора; в п. Курорт Самоцвет выполнена реконструкция станции перекачки, реконструкция участка водопроводной сети (от котельной до домов); в с. Деево по ул. Садовая выполнена реконструкция сети водоснабжения (1,14 км.); в п. Заря по ул. Ленина 10/8 выполнена реконструкция производственной базы МУП «Коммунальные системы»; в с. Кировское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выполнена реконструкция водонапорной башни. 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рамках муниципальной программы «Развитие газификации в муниципальном образовании Алапаевское на 2012 – 2016 годы» в 2014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году:</w:t>
      </w:r>
    </w:p>
    <w:p w:rsidR="004D4354" w:rsidRPr="004D4354" w:rsidRDefault="004D4354" w:rsidP="002C4B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разработана схема газификации с. Коптелово.</w:t>
      </w:r>
      <w:r w:rsidRPr="004D4354">
        <w:rPr>
          <w:rFonts w:ascii="Times New Roman" w:eastAsia="Times New Roman" w:hAnsi="Times New Roman" w:cs="Times New Roman"/>
          <w:i/>
          <w:sz w:val="24"/>
          <w:szCs w:val="24"/>
        </w:rPr>
        <w:t xml:space="preserve">  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Выполнена врезка и пуск газа в газопроводы р.п. В. Синячиха по улицам Горняков, Цветочная, Железнодорожная, Полевая;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заключен муниципальный контракт с ГУП СО «Газовые сети» на разработку ПСД на строительство межпоселкового газопровода р.п. В. Синячиха – Н. Синячиха. Выполнены гидрогеологические заключения. Разработка документации приостановлена по причине отказа ГУП СО «Газовые сети» в выдаче технических условий на подключение. Причиной является необходимость ко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>рректировки схемы газификации муниципального образования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Алапаевское с выполнением нового гидравлического расчета с учетом действующих нагрузок (мероприятие запланировано на 2015 год);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заключен муниципальный контракт с ООО «Удмуртгазпроект» на разработку ПСД на строительство межпоселкового газопровода с. Костино – с. Невьянское. Выполнены в полном объеме инженерные изыскания  по объекту и сданы на государственную экспертизу. 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На использование природным газом переведено 360 квартир, 322 квартиры частных домовладений, общая площадь газифицированного жилищного фонда составляет 174,3 тыс.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кв.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 xml:space="preserve"> метров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Переведены на природный газ, как на основной вид топлива 12 котельных, из них 2 котельных обеспечивают теплоснабжение предприятий различной мощности и назначения, 10 обеспечивают теплоснабжение жилищного фонда и объектов социально – культурного значения. Недостаток развития газораспределительной сети внутри населенных пунктов отражается на уровне газификации жилого фонда и 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>объектов коммунальной сферы в муниципальном образовании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Алапаевское. 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Уровень газификации природным газом в муниципальном образовании 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 xml:space="preserve">Алапаевское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на 01 января 2015 года составил 10 процентов.</w:t>
      </w:r>
    </w:p>
    <w:p w:rsidR="004D4354" w:rsidRPr="004D4354" w:rsidRDefault="004D4354" w:rsidP="002C4B07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Доля организаций коммунального комплекса, осуществляющих производство товаров, оказание услуг по водо-, тепло-,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муниципального образования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lastRenderedPageBreak/>
        <w:t>Алапаевское осталась на уровне прошлого года 75 процентов.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9 организаций коммунального комплекса  из 12 осуществляют производство  </w:t>
      </w:r>
      <w:r w:rsidRPr="004D4354">
        <w:rPr>
          <w:rFonts w:ascii="Times New Roman" w:eastAsia="Times New Roman" w:hAnsi="Times New Roman" w:cs="Times New Roman"/>
          <w:bCs/>
          <w:sz w:val="24"/>
          <w:szCs w:val="24"/>
        </w:rPr>
        <w:t xml:space="preserve">товаров, оказание услуг по водо-, тепло-,  газо-, электроснабжению,  водоотведению,   очистке сточных вод   на праве   частной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собственности,  по договору аренды или концессии.  </w:t>
      </w:r>
    </w:p>
    <w:p w:rsidR="004D4354" w:rsidRPr="004D4354" w:rsidRDefault="004D4354" w:rsidP="002C4B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Уровень собираемости платежей за 2014 г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>од за предоставленные жилищно-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коммунальные услуги населению составил 85 процентов.</w:t>
      </w:r>
    </w:p>
    <w:p w:rsidR="004D4354" w:rsidRPr="004D4354" w:rsidRDefault="004D4354" w:rsidP="002C4B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Управляющими компаниями и ТСЖ в постоянном режиме проводится работа с населением по сниж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>ению задолженности за жилищно-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коммунальные услуги.</w:t>
      </w:r>
    </w:p>
    <w:p w:rsidR="004D4354" w:rsidRPr="004D4354" w:rsidRDefault="004D4354" w:rsidP="002C4B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Административные функции контроля и регулирования  в сфере жи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>лищно-коммунального хозяйства муниципального образования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Алапаевское осуществляет  МКУ «Управление жилищно-коммунального хозяйства, строительства и обслуживания органов местного самоуправления».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D4354" w:rsidRPr="004D4354" w:rsidRDefault="004D4354" w:rsidP="002C4B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Доля многоквартирных домов, расположенных на земельных участках, в отношении которых осуществлен государственный кадастровый учет в 2014 году составила 70%.</w:t>
      </w:r>
    </w:p>
    <w:p w:rsidR="004D4354" w:rsidRPr="004D4354" w:rsidRDefault="004D4354" w:rsidP="002C4B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noProof/>
          <w:color w:val="00FF00"/>
          <w:sz w:val="24"/>
          <w:szCs w:val="24"/>
        </w:rPr>
        <w:drawing>
          <wp:inline distT="0" distB="0" distL="0" distR="0" wp14:anchorId="03B6E0B8" wp14:editId="19D7B0D0">
            <wp:extent cx="5915025" cy="1828800"/>
            <wp:effectExtent l="0" t="0" r="0" b="0"/>
            <wp:docPr id="22" name="Объект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4D4354" w:rsidRPr="004D4354" w:rsidRDefault="005755F7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2014 году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 в рамках муниципальной программы «Управление муниципальной собственностью муниципального образования Алапаевское и приватизации муниципального имущества» на 2014 – 2016 годы, выполнено:</w:t>
      </w:r>
    </w:p>
    <w:p w:rsidR="004D4354" w:rsidRPr="004D4354" w:rsidRDefault="005755F7" w:rsidP="002C4B07">
      <w:pPr>
        <w:tabs>
          <w:tab w:val="left" w:pos="615"/>
          <w:tab w:val="center" w:pos="50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формирование, межевание, кадастровый учет 17 земельных участков, находящихся под многоквартирными домами;</w:t>
      </w:r>
    </w:p>
    <w:p w:rsidR="004D4354" w:rsidRPr="004D4354" w:rsidRDefault="005755F7" w:rsidP="002C4B07">
      <w:pPr>
        <w:tabs>
          <w:tab w:val="left" w:pos="615"/>
          <w:tab w:val="center" w:pos="50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формирование, межевание, кадастровый учет 13 земельных участков, предназначенных для индивидуального жилищного строительства многодетным семьям;</w:t>
      </w:r>
    </w:p>
    <w:p w:rsidR="004D4354" w:rsidRPr="004D4354" w:rsidRDefault="005755F7" w:rsidP="002C4B07">
      <w:pPr>
        <w:tabs>
          <w:tab w:val="left" w:pos="615"/>
          <w:tab w:val="center" w:pos="50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формирование, межевание, кадастровый учет земельных участков, находящихся под внутрипоселковыми газопроводами р.п. Верхняя Синячиха, автодорог: р.п. Верхняя Синячиха ориентир в 30м. на юго – восток от ул. Карла Маркса, 33 (объездная дорога); р.п. Верхняя Синячиха, ул. Горняков, Цветочная, Железнодорожная (газопровод 3274,96м); р.п. Верхняя Синячиха, у</w:t>
      </w:r>
      <w:r>
        <w:rPr>
          <w:rFonts w:ascii="Times New Roman" w:eastAsia="Times New Roman" w:hAnsi="Times New Roman" w:cs="Times New Roman"/>
          <w:sz w:val="24"/>
          <w:szCs w:val="24"/>
        </w:rPr>
        <w:t>л. Полевая (газопровод 644,76 метров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формирование, межевание, кадастровый учет земельных участков, предназначенных для комплексной застройки: с. Невьянское, ул. Ленина, 55; р.п. Верхняя Синячиха, ул. Полевая, 6 А (фильтровая станция); р.п. Верхняя Синячиха (очистные сооружения);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изготовление технических и кадастровых паспортов на 10 объектов недвижимого имущества, находящихся в муниципальной собственности. </w:t>
      </w:r>
    </w:p>
    <w:p w:rsidR="004D4354" w:rsidRPr="004D4354" w:rsidRDefault="004D4354" w:rsidP="002C4B0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 в 2014 году составила 7,4%.</w:t>
      </w:r>
    </w:p>
    <w:p w:rsidR="004D4354" w:rsidRPr="004D4354" w:rsidRDefault="004D4354" w:rsidP="002C4B0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FF00"/>
          <w:sz w:val="24"/>
          <w:szCs w:val="24"/>
          <w:lang w:eastAsia="en-US"/>
        </w:rPr>
      </w:pPr>
    </w:p>
    <w:p w:rsidR="004D4354" w:rsidRPr="004D4354" w:rsidRDefault="004D4354" w:rsidP="002C4B0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FF00"/>
          <w:sz w:val="24"/>
          <w:szCs w:val="24"/>
          <w:lang w:eastAsia="en-US"/>
        </w:rPr>
      </w:pPr>
      <w:r w:rsidRPr="004D4354">
        <w:rPr>
          <w:rFonts w:ascii="Times New Roman" w:eastAsia="Times New Roman" w:hAnsi="Times New Roman" w:cs="Times New Roman"/>
          <w:noProof/>
          <w:color w:val="00FF00"/>
          <w:sz w:val="24"/>
          <w:szCs w:val="24"/>
        </w:rPr>
        <w:lastRenderedPageBreak/>
        <w:drawing>
          <wp:inline distT="0" distB="0" distL="0" distR="0" wp14:anchorId="02A6D75C" wp14:editId="55A095F3">
            <wp:extent cx="5676900" cy="1828800"/>
            <wp:effectExtent l="0" t="0" r="0" b="0"/>
            <wp:docPr id="23" name="Объект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4D4354" w:rsidRPr="004D4354" w:rsidRDefault="004D4354" w:rsidP="002C4B0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FF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color w:val="00FF00"/>
          <w:sz w:val="24"/>
          <w:szCs w:val="24"/>
        </w:rPr>
        <w:tab/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Снижение показателя по сравнению с прошлым годом, объясняется тем, что в 201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>3 году введен в эксплуатацию 30-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квартирный жилой дом (для переселения граждан из ветхого аварийного жилья) по ул. Октябрьская, д.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33 в р.п. Верхняя Синяч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>иха, общей площадью 1022,7 кв. метров.</w:t>
      </w:r>
    </w:p>
    <w:p w:rsidR="004D4354" w:rsidRPr="004D4354" w:rsidRDefault="004D4354" w:rsidP="002C4B0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2014 году в рамках муниципальных программ:</w:t>
      </w:r>
      <w:r w:rsidRPr="004D435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4D4354" w:rsidRPr="004D4354" w:rsidRDefault="004D4354" w:rsidP="002C4B0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sz w:val="24"/>
          <w:szCs w:val="24"/>
        </w:rPr>
        <w:t>«Обеспечение жильем молодых семей на территории муниципального образования Алапаевское» на 2011 – 2016 годы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2 молодые семьи, получившие социальные выплаты в 2013 году, приобрели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 xml:space="preserve"> жилые помещения в п. Заря (3-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х комнатная квартира), с. Коптелово (жилой дом);   </w:t>
      </w:r>
    </w:p>
    <w:p w:rsidR="004D4354" w:rsidRPr="004D4354" w:rsidRDefault="004D4354" w:rsidP="002C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sz w:val="24"/>
          <w:szCs w:val="24"/>
        </w:rPr>
        <w:t xml:space="preserve">«Устойчивое развитие сельских территорий муниципального образования Алапаевское» на 2014 – 2017 годы и на период до 2020 года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выдано 6 свидетельств на предоставление социальных выплат гражданам, молодым семьям, проживающим и работающим в сельской местности на приобретение (строительство) жилья. Из них 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4 семьи приобрели жилые помещения в р.п. Верхняя Синячиха, 2 семьи строят индивидуальные жилые дома в с. Коптелово и в п. Заря.</w:t>
      </w:r>
    </w:p>
    <w:p w:rsidR="004D4354" w:rsidRPr="004D4354" w:rsidRDefault="004D4354" w:rsidP="002C4B0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Предоставлены жилые помещения из муниципального жилищного фонда гражданам, принятым на учет в качестве малоимущих и нуждающихся в предоставлении жилого помещения по до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>говору социального найма: 2011 год – 8 семей, 2012 год – 13 семей, 2013 год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– 24 семьи, 2014 год – 11 семей.</w:t>
      </w:r>
    </w:p>
    <w:p w:rsidR="004D4354" w:rsidRPr="004D4354" w:rsidRDefault="004D4354" w:rsidP="002C4B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В 2015 – 2017 годах планируется улучшить жилищные условия граждан муниципального образования 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 xml:space="preserve">Алапаевское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путем участия в жилищных государственных программах в целях предоставления социальных выплат участникам программ на приобретение (строительство) жилья: 2015 год – 6 семей, 2016 год – 7 семей, 2017 год – 8 семей.</w:t>
      </w:r>
    </w:p>
    <w:p w:rsidR="004D4354" w:rsidRPr="004D4354" w:rsidRDefault="004D4354" w:rsidP="004D435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sz w:val="24"/>
          <w:szCs w:val="24"/>
        </w:rPr>
        <w:t>Раздел 8.  Организация муниципального управления</w:t>
      </w: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 xml:space="preserve">Алапавеское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(без учета субвенций) за 2014 год на 0,07 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>% превышает показатель за 2013 года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В 2015 году и плановом периоде ожидается устойчивый рост анализируемого показателя.</w:t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noProof/>
          <w:color w:val="00FF00"/>
          <w:sz w:val="24"/>
          <w:szCs w:val="24"/>
        </w:rPr>
        <w:lastRenderedPageBreak/>
        <w:drawing>
          <wp:inline distT="0" distB="0" distL="0" distR="0" wp14:anchorId="58D84168" wp14:editId="7B5209D8">
            <wp:extent cx="5743575" cy="1828800"/>
            <wp:effectExtent l="0" t="0" r="0" b="0"/>
            <wp:docPr id="24" name="Объект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4D4354" w:rsidRPr="004D4354" w:rsidRDefault="004D4354" w:rsidP="004D4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 xml:space="preserve">Алапаевское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по оплате труда (включая начисления на оплату труда) в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2014 году отсутствует.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Ежемесячно проводится мониторинг по структуре кредиторской задолженности.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ab/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Расходы бюджета муниципального образования Алапаевское на содержание работников органов местного самоуправления в расчете на одного жителя увеличились с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1715,68 руб. (2011 год) до 2671,53 руб. (2014 год) по следующим причинам:</w:t>
      </w:r>
    </w:p>
    <w:p w:rsidR="004D4354" w:rsidRPr="004D4354" w:rsidRDefault="004D4354" w:rsidP="005755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снижение численности населения;</w:t>
      </w:r>
    </w:p>
    <w:p w:rsidR="004D4354" w:rsidRPr="004D4354" w:rsidRDefault="004D4354" w:rsidP="005755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с 2013 года в расходы на содержание органов местного самоуправления включены фактические затраты на обслуживание органов местного самоуправления и увеличение заработной платы на 5,5 % в соответствии с законодательством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D4354" w:rsidRPr="004D4354" w:rsidRDefault="004D4354" w:rsidP="005755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>В 2015 году планируется снижение расходов по сравнению с 2014 годом на 5,7 %, в 2016 – 2017 годах рост анализируемого показателя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на 5%.</w:t>
      </w:r>
    </w:p>
    <w:p w:rsidR="004D4354" w:rsidRPr="004D4354" w:rsidRDefault="004D4354" w:rsidP="004D4354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-1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ab/>
        <w:t xml:space="preserve"> 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ab/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Объем не завершенного в установленные сроки строительства, осуществляемого за счет средств местного бюджета, на конец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2014 года составил</w:t>
      </w: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14480,7 тыс. руб., в том числе:</w:t>
      </w:r>
    </w:p>
    <w:p w:rsidR="004D4354" w:rsidRPr="004D4354" w:rsidRDefault="005755F7" w:rsidP="004D4354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-15" w:firstLine="1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строительство 24 – квартирного жилого дома с. Костино ул. Школьная, 7 (13518 тыс. руб.);</w:t>
      </w:r>
    </w:p>
    <w:p w:rsidR="004D4354" w:rsidRPr="004D4354" w:rsidRDefault="005755F7" w:rsidP="004D4354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-15" w:firstLine="1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строительство сетей газоснабжения к жилым домам в с.Арамашево (962,7 тыс. руб.). </w:t>
      </w:r>
    </w:p>
    <w:p w:rsidR="004D4354" w:rsidRPr="004D4354" w:rsidRDefault="004D4354" w:rsidP="004D4354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-15" w:firstLine="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ab/>
        <w:t>Данные объекты изъяты в казну муниципальног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 xml:space="preserve">о образования Алапаевское 15 января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2015 года.</w:t>
      </w:r>
    </w:p>
    <w:p w:rsidR="004D4354" w:rsidRPr="004D4354" w:rsidRDefault="005755F7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В 2014 году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 разработаны генеральные планы территории применительно к населенным пунктам в с. Ялунинское, с. Костино, с. Невьянское, с. Голубковское. Разработана документация по планировке территорий в с. Коптелово, с. Деево,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с. Арамашево.</w:t>
      </w:r>
    </w:p>
    <w:p w:rsidR="004D4354" w:rsidRPr="004D4354" w:rsidRDefault="005755F7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Администра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циями территориальных органов муниципального образования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 xml:space="preserve"> Алапаевское в течение 2014 года подготовлена документация по внесению изменений в Правила землепользования и застройки муниципального образования Алапаевское относительно территории: д. Мысы, п. Ельничная, п. Гаранинка, с. Ярославское,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с. Клевакино, д.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354" w:rsidRPr="004D4354">
        <w:rPr>
          <w:rFonts w:ascii="Times New Roman" w:eastAsia="Times New Roman" w:hAnsi="Times New Roman" w:cs="Times New Roman"/>
          <w:sz w:val="24"/>
          <w:szCs w:val="24"/>
        </w:rPr>
        <w:t>Кострома, д. Косякова, д. Таборы, д. Никонова, д. Исакова, с. Толмачево, п. Дружба, п. Новоямово; изготовлена картографическая основа для проектирования территории: п. Ельничная, д. Мысы, п. Гаранинка, д. Исакова, п. Новоямово.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ab/>
        <w:t xml:space="preserve">В 2015 году планируется 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>разработка генерального плана муниципального образования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Алапаевское применительно к населенным пунктам с. Кировское, 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с. Останино, п. Бубчиково; документации по планировке территорий в с. Деево.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ab/>
        <w:t xml:space="preserve">В 2014 году подготовлено 134 акта выбора земельного участка для индивидуального жилищного строительства, выдано 111 разрешений на строительство жилых домов. 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ab/>
        <w:t>Удовлетворенность населения организацией транспортного обслуживания в муниципальном образовании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 xml:space="preserve"> Алапаевское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в 2014 году составила 60%.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lastRenderedPageBreak/>
        <w:tab/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Удовлетворенность населения качеством автомобильных дорог в муниципальном образовании 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 xml:space="preserve">Алапаевское 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в 2014 году составила 56,3%.</w:t>
      </w:r>
    </w:p>
    <w:p w:rsidR="004D4354" w:rsidRPr="004D4354" w:rsidRDefault="004D4354" w:rsidP="004D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ab/>
        <w:t>Удовле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>творенность населения жилищно-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коммунальными услугами, уровень организации теплоснабжения (снабжения населения топливом), водоснабжения (водоотведения), электроснабжения, газоснабжения я в 2014 году составила 66,25 %.</w:t>
      </w: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4354" w:rsidRPr="004D4354" w:rsidRDefault="004D4354" w:rsidP="004D4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sz w:val="24"/>
          <w:szCs w:val="24"/>
        </w:rPr>
        <w:t>Раздел 9.  Энергосбережение и повышение энергоэффективности</w:t>
      </w:r>
    </w:p>
    <w:p w:rsidR="004D4354" w:rsidRPr="004D4354" w:rsidRDefault="004D4354" w:rsidP="004D43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  <w:t xml:space="preserve"> </w:t>
      </w:r>
      <w:r w:rsidRPr="004D4354"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  <w:tab/>
      </w:r>
    </w:p>
    <w:p w:rsidR="004D4354" w:rsidRPr="004D4354" w:rsidRDefault="004D4354" w:rsidP="004D43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  <w:tab/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В рамках муниципальной программы «Энергосбережение в муниципальном образовании Алапаевское» на 2013 – 2015 годы Администрацией муниципального образования Алапаевское проводилась работа совместно с управляющими организациями и ТСЖ по информированию населения о необходимости установки общедомовых и индивидуальных приборов учета энергетических ресурсов. Собственники многоквартирных домов устанавливали приборы учета энергетических ресурсов за счет собственных средств.</w:t>
      </w:r>
    </w:p>
    <w:p w:rsidR="004D4354" w:rsidRPr="004D4354" w:rsidRDefault="004D4354" w:rsidP="004D43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ab/>
        <w:t>В 2014 году общедомовые приборы учета установлены в многоквартирных домах по тепловой энергии – 9, электрической энергии – 7, холодному водоснабжению – 4, горячему водоснабжению – 1. Невысокий процент (70%) оснащенности приборами учета в жилищном фонде объясняется нежеланием собственников жилых помещений за счет собственных средств производить установку необходимых приборов учета, а дефицит местного бюджета не может компенсировать данные затраты.</w:t>
      </w:r>
    </w:p>
    <w:p w:rsidR="004D4354" w:rsidRPr="004D4354" w:rsidRDefault="004D4354" w:rsidP="004D43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ab/>
        <w:t>Удельная величина потребления энергетических ресурсов в многоквартирных домах в 2014 году: тепловой энергии, холодному и горячему водоснабжению осталась на уровне прошлого года, нормативы потребления установлены в соответствии с постановлениями Региональной энергетической комиссии Свердловской области. Удельная величина потребления электрической энергии на 1 чел. возросла и составила 1116 кВт/ч в год, из расчета фактического потребления в месяц 93кВт/ч.</w:t>
      </w:r>
    </w:p>
    <w:p w:rsidR="004D4354" w:rsidRPr="004D4354" w:rsidRDefault="004D4354" w:rsidP="004D43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ab/>
        <w:t xml:space="preserve">Показатель удельной величины потребления энергетических ресурсов муниципальными бюджетными учреждениями в 2014 году (электрическая энергия, холодная вода) повысился в связи с вводом в эксплуатацию в р.п. 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>Верхняя Синячиха физкультурно-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>оздоровительного комплекса</w:t>
      </w:r>
      <w:r w:rsidR="005755F7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Алапаевское</w:t>
      </w:r>
      <w:r w:rsidRPr="004D4354">
        <w:rPr>
          <w:rFonts w:ascii="Times New Roman" w:eastAsia="Times New Roman" w:hAnsi="Times New Roman" w:cs="Times New Roman"/>
          <w:sz w:val="24"/>
          <w:szCs w:val="24"/>
        </w:rPr>
        <w:t xml:space="preserve"> с плавательным бассейном и универсальным залом.</w:t>
      </w:r>
    </w:p>
    <w:p w:rsidR="004D4354" w:rsidRPr="004D4354" w:rsidRDefault="004D4354" w:rsidP="004D43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ab/>
        <w:t xml:space="preserve">Удельная величина потребления тепловой энергии в бюджетных учреждениях снизилась, в связи с установкой приборов учета. Для горячего водоснабжения в муниципальных бюджетных учреждениях холодная вода нагревается водонагревателями. </w:t>
      </w:r>
    </w:p>
    <w:p w:rsidR="004D4354" w:rsidRPr="004D4354" w:rsidRDefault="004D4354" w:rsidP="004D43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354">
        <w:rPr>
          <w:rFonts w:ascii="Times New Roman" w:eastAsia="Times New Roman" w:hAnsi="Times New Roman" w:cs="Times New Roman"/>
          <w:sz w:val="24"/>
          <w:szCs w:val="24"/>
        </w:rPr>
        <w:tab/>
        <w:t>Плановая удельная величина потребления энергетических ресурсов муниципальными бюджетными учреждениями: «природный газ» определена в соответствии с лимитом расхода природного газа по котельной МОУ «Костинская СОШ» и подлежит корректировке по итогам отчетного года. Расход в 2014 году составил 160,3 тыс.м.куб., что выше показателя 2013 года на 2,4 процента.</w:t>
      </w:r>
    </w:p>
    <w:p w:rsidR="004D4354" w:rsidRPr="004D4354" w:rsidRDefault="004D4354" w:rsidP="004D4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4D4354" w:rsidRPr="004D4354" w:rsidSect="00651DE8">
      <w:headerReference w:type="default" r:id="rId32"/>
      <w:pgSz w:w="11906" w:h="16838"/>
      <w:pgMar w:top="1134" w:right="849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E6D" w:rsidRDefault="003A6E6D" w:rsidP="003E150D">
      <w:pPr>
        <w:spacing w:after="0" w:line="240" w:lineRule="auto"/>
      </w:pPr>
      <w:r>
        <w:separator/>
      </w:r>
    </w:p>
  </w:endnote>
  <w:endnote w:type="continuationSeparator" w:id="0">
    <w:p w:rsidR="003A6E6D" w:rsidRDefault="003A6E6D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E6D" w:rsidRDefault="003A6E6D" w:rsidP="003E150D">
      <w:pPr>
        <w:spacing w:after="0" w:line="240" w:lineRule="auto"/>
      </w:pPr>
      <w:r>
        <w:separator/>
      </w:r>
    </w:p>
  </w:footnote>
  <w:footnote w:type="continuationSeparator" w:id="0">
    <w:p w:rsidR="003A6E6D" w:rsidRDefault="003A6E6D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Content>
      <w:p w:rsidR="005755F7" w:rsidRDefault="005755F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60B">
          <w:rPr>
            <w:noProof/>
          </w:rPr>
          <w:t>4</w:t>
        </w:r>
        <w:r>
          <w:fldChar w:fldCharType="end"/>
        </w:r>
      </w:p>
    </w:sdtContent>
  </w:sdt>
  <w:p w:rsidR="005755F7" w:rsidRDefault="005755F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56279C7"/>
    <w:multiLevelType w:val="hybridMultilevel"/>
    <w:tmpl w:val="C176459E"/>
    <w:lvl w:ilvl="0" w:tplc="87B0EEA4">
      <w:start w:val="1"/>
      <w:numFmt w:val="decimal"/>
      <w:lvlText w:val="%1."/>
      <w:lvlJc w:val="left"/>
      <w:pPr>
        <w:tabs>
          <w:tab w:val="num" w:pos="1190"/>
        </w:tabs>
        <w:ind w:left="1190" w:hanging="48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701BD"/>
    <w:multiLevelType w:val="hybridMultilevel"/>
    <w:tmpl w:val="F5D456B4"/>
    <w:lvl w:ilvl="0" w:tplc="4DBE09C4">
      <w:start w:val="1"/>
      <w:numFmt w:val="bullet"/>
      <w:lvlText w:val="-"/>
      <w:lvlJc w:val="left"/>
      <w:pPr>
        <w:ind w:left="1429" w:hanging="360"/>
      </w:pPr>
      <w:rPr>
        <w:rFonts w:ascii="Utsaah" w:hAnsi="Utsaah"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A00289"/>
    <w:multiLevelType w:val="hybridMultilevel"/>
    <w:tmpl w:val="B1743B56"/>
    <w:lvl w:ilvl="0" w:tplc="AB1CCCC8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9"/>
  </w:num>
  <w:num w:numId="6">
    <w:abstractNumId w:val="7"/>
  </w:num>
  <w:num w:numId="7">
    <w:abstractNumId w:val="8"/>
  </w:num>
  <w:num w:numId="8">
    <w:abstractNumId w:val="13"/>
  </w:num>
  <w:num w:numId="9">
    <w:abstractNumId w:val="11"/>
  </w:num>
  <w:num w:numId="10">
    <w:abstractNumId w:val="10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35768"/>
    <w:rsid w:val="00042E86"/>
    <w:rsid w:val="00045A02"/>
    <w:rsid w:val="00047B2D"/>
    <w:rsid w:val="0005761E"/>
    <w:rsid w:val="00081E00"/>
    <w:rsid w:val="00084477"/>
    <w:rsid w:val="000C6179"/>
    <w:rsid w:val="0011555A"/>
    <w:rsid w:val="00115DBB"/>
    <w:rsid w:val="0016364E"/>
    <w:rsid w:val="001720D4"/>
    <w:rsid w:val="00181DF9"/>
    <w:rsid w:val="001A25AD"/>
    <w:rsid w:val="001C0A0D"/>
    <w:rsid w:val="001D47CD"/>
    <w:rsid w:val="001D681A"/>
    <w:rsid w:val="0022583B"/>
    <w:rsid w:val="0028160B"/>
    <w:rsid w:val="002939EF"/>
    <w:rsid w:val="002A36E0"/>
    <w:rsid w:val="002C3295"/>
    <w:rsid w:val="002C4B07"/>
    <w:rsid w:val="003177A0"/>
    <w:rsid w:val="00326591"/>
    <w:rsid w:val="003265B0"/>
    <w:rsid w:val="00344D88"/>
    <w:rsid w:val="0035075C"/>
    <w:rsid w:val="00362D24"/>
    <w:rsid w:val="00385FEF"/>
    <w:rsid w:val="00386152"/>
    <w:rsid w:val="003861E8"/>
    <w:rsid w:val="003A6E6D"/>
    <w:rsid w:val="003E150D"/>
    <w:rsid w:val="003F5CCC"/>
    <w:rsid w:val="00407D38"/>
    <w:rsid w:val="00430293"/>
    <w:rsid w:val="00431EE4"/>
    <w:rsid w:val="004415C9"/>
    <w:rsid w:val="004752A5"/>
    <w:rsid w:val="004C3027"/>
    <w:rsid w:val="004D04FC"/>
    <w:rsid w:val="004D4354"/>
    <w:rsid w:val="004E54F9"/>
    <w:rsid w:val="0052282F"/>
    <w:rsid w:val="005674B4"/>
    <w:rsid w:val="005755F7"/>
    <w:rsid w:val="005802B8"/>
    <w:rsid w:val="0059319E"/>
    <w:rsid w:val="005A221E"/>
    <w:rsid w:val="005A2ABB"/>
    <w:rsid w:val="005C7659"/>
    <w:rsid w:val="00617732"/>
    <w:rsid w:val="00623D54"/>
    <w:rsid w:val="00625DA1"/>
    <w:rsid w:val="00633658"/>
    <w:rsid w:val="00643E0B"/>
    <w:rsid w:val="00651DE8"/>
    <w:rsid w:val="00652099"/>
    <w:rsid w:val="006718A2"/>
    <w:rsid w:val="00672368"/>
    <w:rsid w:val="006C742F"/>
    <w:rsid w:val="006E31A0"/>
    <w:rsid w:val="00747099"/>
    <w:rsid w:val="0077088A"/>
    <w:rsid w:val="00771704"/>
    <w:rsid w:val="00773F9C"/>
    <w:rsid w:val="00775BAF"/>
    <w:rsid w:val="007C4DFD"/>
    <w:rsid w:val="007C6AFA"/>
    <w:rsid w:val="007C727F"/>
    <w:rsid w:val="007D5323"/>
    <w:rsid w:val="0088738D"/>
    <w:rsid w:val="00894F61"/>
    <w:rsid w:val="008B26CA"/>
    <w:rsid w:val="009358C8"/>
    <w:rsid w:val="009409DF"/>
    <w:rsid w:val="00982793"/>
    <w:rsid w:val="0099046C"/>
    <w:rsid w:val="009A6E2C"/>
    <w:rsid w:val="009F2650"/>
    <w:rsid w:val="00A01602"/>
    <w:rsid w:val="00A127BE"/>
    <w:rsid w:val="00A15F82"/>
    <w:rsid w:val="00A50171"/>
    <w:rsid w:val="00A63E41"/>
    <w:rsid w:val="00AA7E78"/>
    <w:rsid w:val="00AF6C84"/>
    <w:rsid w:val="00B15D1E"/>
    <w:rsid w:val="00B5202F"/>
    <w:rsid w:val="00B67D04"/>
    <w:rsid w:val="00B917BF"/>
    <w:rsid w:val="00BB3DC9"/>
    <w:rsid w:val="00BC2C32"/>
    <w:rsid w:val="00BF24E7"/>
    <w:rsid w:val="00C16428"/>
    <w:rsid w:val="00C27E39"/>
    <w:rsid w:val="00C3445F"/>
    <w:rsid w:val="00CB68A4"/>
    <w:rsid w:val="00D024B7"/>
    <w:rsid w:val="00D066B5"/>
    <w:rsid w:val="00D37532"/>
    <w:rsid w:val="00DB31CB"/>
    <w:rsid w:val="00DB7783"/>
    <w:rsid w:val="00DE544C"/>
    <w:rsid w:val="00DF452B"/>
    <w:rsid w:val="00DF4582"/>
    <w:rsid w:val="00E050DF"/>
    <w:rsid w:val="00E116F6"/>
    <w:rsid w:val="00E143DE"/>
    <w:rsid w:val="00E74512"/>
    <w:rsid w:val="00EB7E27"/>
    <w:rsid w:val="00F143B2"/>
    <w:rsid w:val="00F56C7B"/>
    <w:rsid w:val="00F6008A"/>
    <w:rsid w:val="00F62456"/>
    <w:rsid w:val="00F74E25"/>
    <w:rsid w:val="00F83B29"/>
    <w:rsid w:val="00F87623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chart" Target="charts/chart18.xml"/><Relationship Id="rId3" Type="http://schemas.microsoft.com/office/2007/relationships/stylesWithEffects" Target="stylesWithEffects.xml"/><Relationship Id="rId21" Type="http://schemas.openxmlformats.org/officeDocument/2006/relationships/chart" Target="charts/chart13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chart" Target="charts/chart17.xm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29" Type="http://schemas.openxmlformats.org/officeDocument/2006/relationships/chart" Target="charts/chart2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chart" Target="charts/chart16.xm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23" Type="http://schemas.openxmlformats.org/officeDocument/2006/relationships/chart" Target="charts/chart15.xml"/><Relationship Id="rId28" Type="http://schemas.openxmlformats.org/officeDocument/2006/relationships/chart" Target="charts/chart20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31" Type="http://schemas.openxmlformats.org/officeDocument/2006/relationships/chart" Target="charts/chart23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4.xml"/><Relationship Id="rId27" Type="http://schemas.openxmlformats.org/officeDocument/2006/relationships/chart" Target="charts/chart19.xml"/><Relationship Id="rId30" Type="http://schemas.openxmlformats.org/officeDocument/2006/relationships/chart" Target="charts/chart2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0.xlsx"/><Relationship Id="rId1" Type="http://schemas.openxmlformats.org/officeDocument/2006/relationships/themeOverride" Target="../theme/themeOverride10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1.xlsx"/><Relationship Id="rId1" Type="http://schemas.openxmlformats.org/officeDocument/2006/relationships/themeOverride" Target="../theme/themeOverride11.xml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2.xlsx"/><Relationship Id="rId1" Type="http://schemas.openxmlformats.org/officeDocument/2006/relationships/themeOverride" Target="../theme/themeOverride12.xml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3.xlsx"/><Relationship Id="rId1" Type="http://schemas.openxmlformats.org/officeDocument/2006/relationships/themeOverride" Target="../theme/themeOverride13.xml"/></Relationships>
</file>

<file path=word/charts/_rels/chart1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4.xlsx"/><Relationship Id="rId1" Type="http://schemas.openxmlformats.org/officeDocument/2006/relationships/themeOverride" Target="../theme/themeOverride14.xml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5.xlsx"/><Relationship Id="rId1" Type="http://schemas.openxmlformats.org/officeDocument/2006/relationships/themeOverride" Target="../theme/themeOverride15.xml"/></Relationships>
</file>

<file path=word/charts/_rels/chart1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6.xlsx"/><Relationship Id="rId1" Type="http://schemas.openxmlformats.org/officeDocument/2006/relationships/themeOverride" Target="../theme/themeOverride16.xml"/></Relationships>
</file>

<file path=word/charts/_rels/chart1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7.xlsx"/><Relationship Id="rId1" Type="http://schemas.openxmlformats.org/officeDocument/2006/relationships/themeOverride" Target="../theme/themeOverride17.xml"/></Relationships>
</file>

<file path=word/charts/_rels/chart1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8.xlsx"/><Relationship Id="rId1" Type="http://schemas.openxmlformats.org/officeDocument/2006/relationships/themeOverride" Target="../theme/themeOverride18.xml"/></Relationships>
</file>

<file path=word/charts/_rels/chart1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9.xlsx"/><Relationship Id="rId1" Type="http://schemas.openxmlformats.org/officeDocument/2006/relationships/themeOverride" Target="../theme/themeOverride19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2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0.xlsx"/><Relationship Id="rId1" Type="http://schemas.openxmlformats.org/officeDocument/2006/relationships/themeOverride" Target="../theme/themeOverride20.xml"/></Relationships>
</file>

<file path=word/charts/_rels/chart2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1.xlsx"/><Relationship Id="rId1" Type="http://schemas.openxmlformats.org/officeDocument/2006/relationships/themeOverride" Target="../theme/themeOverride21.xml"/></Relationships>
</file>

<file path=word/charts/_rels/chart2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2.xlsx"/><Relationship Id="rId1" Type="http://schemas.openxmlformats.org/officeDocument/2006/relationships/themeOverride" Target="../theme/themeOverride22.xml"/></Relationships>
</file>

<file path=word/charts/_rels/chart2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3.xlsx"/><Relationship Id="rId1" Type="http://schemas.openxmlformats.org/officeDocument/2006/relationships/themeOverride" Target="../theme/themeOverride23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6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7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8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9.xlsx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hPercent val="50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0971659919028341E-2"/>
          <c:y val="5.7971014492753624E-2"/>
          <c:w val="0.70647773279352222"/>
          <c:h val="0.7777777777777777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Доля численности работников малых и средних п/п</c:v>
                </c:pt>
              </c:strCache>
            </c:strRef>
          </c:tx>
          <c:spPr>
            <a:solidFill>
              <a:srgbClr val="00FFFF"/>
            </a:solidFill>
            <a:ln w="12624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2011г</c:v>
                </c:pt>
                <c:pt idx="1">
                  <c:v>2012г</c:v>
                </c:pt>
                <c:pt idx="2">
                  <c:v>2013г</c:v>
                </c:pt>
                <c:pt idx="3">
                  <c:v>2014г.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21.4</c:v>
                </c:pt>
                <c:pt idx="1">
                  <c:v>22.2</c:v>
                </c:pt>
                <c:pt idx="2">
                  <c:v>22.5</c:v>
                </c:pt>
                <c:pt idx="3">
                  <c:v>22.7</c:v>
                </c:pt>
              </c:numCache>
            </c:numRef>
          </c:val>
          <c:shape val="cone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453542272"/>
        <c:axId val="453544192"/>
        <c:axId val="0"/>
      </c:bar3DChart>
      <c:catAx>
        <c:axId val="4535422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5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535441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53544192"/>
        <c:scaling>
          <c:orientation val="minMax"/>
        </c:scaling>
        <c:delete val="0"/>
        <c:axPos val="l"/>
        <c:majorGridlines>
          <c:spPr>
            <a:ln w="3156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5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53542272"/>
        <c:crosses val="autoZero"/>
        <c:crossBetween val="between"/>
      </c:valAx>
      <c:spPr>
        <a:noFill/>
        <a:ln w="25249">
          <a:noFill/>
        </a:ln>
      </c:spPr>
    </c:plotArea>
    <c:legend>
      <c:legendPos val="r"/>
      <c:layout>
        <c:manualLayout>
          <c:xMode val="edge"/>
          <c:yMode val="edge"/>
          <c:x val="0.80971659919028338"/>
          <c:y val="0.3188405797101449"/>
          <c:w val="0.18016194331983806"/>
          <c:h val="0.40579710144927539"/>
        </c:manualLayout>
      </c:layout>
      <c:overlay val="0"/>
      <c:spPr>
        <a:noFill/>
        <a:ln w="3156">
          <a:solidFill>
            <a:srgbClr val="000000"/>
          </a:solidFill>
          <a:prstDash val="solid"/>
        </a:ln>
      </c:spPr>
      <c:txPr>
        <a:bodyPr/>
        <a:lstStyle/>
        <a:p>
          <a:pPr>
            <a:defRPr sz="731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9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6.3829787234042548E-2"/>
          <c:y val="0.11538461538461539"/>
          <c:w val="0.57446808510638303"/>
          <c:h val="0.6868131868131868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Доля детей в возрасте 1-6 лет, получающих дошкольную образовательную услугу</c:v>
                </c:pt>
              </c:strCache>
            </c:strRef>
          </c:tx>
          <c:spPr>
            <a:ln w="12618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spPr>
              <a:noFill/>
              <a:ln w="25236">
                <a:noFill/>
              </a:ln>
            </c:spPr>
            <c:txPr>
              <a:bodyPr/>
              <a:lstStyle/>
              <a:p>
                <a:pPr>
                  <a:defRPr sz="795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2011г.</c:v>
                </c:pt>
                <c:pt idx="1">
                  <c:v>2012г.</c:v>
                </c:pt>
                <c:pt idx="2">
                  <c:v>2013г.</c:v>
                </c:pt>
                <c:pt idx="3">
                  <c:v>2014г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55.3</c:v>
                </c:pt>
                <c:pt idx="1">
                  <c:v>68.099999999999994</c:v>
                </c:pt>
                <c:pt idx="2">
                  <c:v>77.5</c:v>
                </c:pt>
                <c:pt idx="3">
                  <c:v>86.2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57688832"/>
        <c:axId val="57691520"/>
      </c:lineChart>
      <c:catAx>
        <c:axId val="576888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5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5769152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5769152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5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57688832"/>
        <c:crosses val="autoZero"/>
        <c:crossBetween val="between"/>
      </c:valAx>
      <c:spPr>
        <a:noFill/>
        <a:ln w="25236">
          <a:noFill/>
        </a:ln>
      </c:spPr>
    </c:plotArea>
    <c:legend>
      <c:legendPos val="r"/>
      <c:layout>
        <c:manualLayout>
          <c:xMode val="edge"/>
          <c:yMode val="edge"/>
          <c:x val="0.65466448445171854"/>
          <c:y val="0.32417582417582419"/>
          <c:w val="0.33878887070376434"/>
          <c:h val="0.26373626373626374"/>
        </c:manualLayout>
      </c:layout>
      <c:overlay val="0"/>
      <c:spPr>
        <a:noFill/>
        <a:ln w="3155">
          <a:solidFill>
            <a:srgbClr val="000000"/>
          </a:solidFill>
          <a:prstDash val="solid"/>
        </a:ln>
      </c:spPr>
      <c:txPr>
        <a:bodyPr/>
        <a:lstStyle/>
        <a:p>
          <a:pPr>
            <a:defRPr sz="73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7491289198606271E-2"/>
          <c:y val="0.11538461538461539"/>
          <c:w val="0.57839721254355403"/>
          <c:h val="0.6868131868131868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Доля детей в возрасте 1-6 лет, стоящих на учете в ДОУ</c:v>
                </c:pt>
              </c:strCache>
            </c:strRef>
          </c:tx>
          <c:spPr>
            <a:ln w="12635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spPr>
              <a:noFill/>
              <a:ln w="25270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2011г.</c:v>
                </c:pt>
                <c:pt idx="1">
                  <c:v>2012г.</c:v>
                </c:pt>
                <c:pt idx="2">
                  <c:v>2013г.</c:v>
                </c:pt>
                <c:pt idx="3">
                  <c:v>2014г.</c:v>
                </c:pt>
                <c:pt idx="4">
                  <c:v>2015г</c:v>
                </c:pt>
                <c:pt idx="5">
                  <c:v>2016г</c:v>
                </c:pt>
                <c:pt idx="6">
                  <c:v>2017г</c:v>
                </c:pt>
              </c:strCache>
            </c:strRef>
          </c:cat>
          <c:val>
            <c:numRef>
              <c:f>Sheet1!$B$2:$H$2</c:f>
              <c:numCache>
                <c:formatCode>General</c:formatCode>
                <c:ptCount val="7"/>
                <c:pt idx="0">
                  <c:v>39</c:v>
                </c:pt>
                <c:pt idx="1">
                  <c:v>28</c:v>
                </c:pt>
                <c:pt idx="2">
                  <c:v>17.8</c:v>
                </c:pt>
                <c:pt idx="3">
                  <c:v>14.9</c:v>
                </c:pt>
                <c:pt idx="4">
                  <c:v>9</c:v>
                </c:pt>
                <c:pt idx="5">
                  <c:v>7</c:v>
                </c:pt>
                <c:pt idx="6">
                  <c:v>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2374272"/>
        <c:axId val="172381312"/>
      </c:lineChart>
      <c:catAx>
        <c:axId val="1723742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5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238131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238131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5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2374272"/>
        <c:crosses val="autoZero"/>
        <c:crossBetween val="between"/>
      </c:valAx>
      <c:spPr>
        <a:noFill/>
        <a:ln w="25270">
          <a:noFill/>
        </a:ln>
      </c:spPr>
    </c:plotArea>
    <c:legend>
      <c:legendPos val="r"/>
      <c:layout>
        <c:manualLayout>
          <c:xMode val="edge"/>
          <c:yMode val="edge"/>
          <c:x val="0.65331010452961669"/>
          <c:y val="0.36263736263736263"/>
          <c:w val="0.33972125435540068"/>
          <c:h val="0.18681318681318682"/>
        </c:manualLayout>
      </c:layout>
      <c:overlay val="0"/>
      <c:spPr>
        <a:noFill/>
        <a:ln w="3159">
          <a:solidFill>
            <a:srgbClr val="000000"/>
          </a:solidFill>
          <a:prstDash val="solid"/>
        </a:ln>
      </c:spPr>
      <c:txPr>
        <a:bodyPr/>
        <a:lstStyle/>
        <a:p>
          <a:pPr>
            <a:defRPr sz="731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7.0261437908496732E-2"/>
          <c:y val="0.10344827586206896"/>
          <c:w val="0.5816993464052288"/>
          <c:h val="0.7093596059113300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Доля выпускников, сдавших ЕГЭ по русскому и математике, %</c:v>
                </c:pt>
              </c:strCache>
            </c:strRef>
          </c:tx>
          <c:spPr>
            <a:solidFill>
              <a:srgbClr val="9999FF"/>
            </a:solidFill>
            <a:ln w="1263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277">
                <a:noFill/>
              </a:ln>
            </c:spPr>
            <c:txPr>
              <a:bodyPr/>
              <a:lstStyle/>
              <a:p>
                <a:pPr>
                  <a:defRPr sz="89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2011г.</c:v>
                </c:pt>
                <c:pt idx="1">
                  <c:v>2012г.</c:v>
                </c:pt>
                <c:pt idx="2">
                  <c:v>2013г.</c:v>
                </c:pt>
                <c:pt idx="3">
                  <c:v>2014г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95.6</c:v>
                </c:pt>
                <c:pt idx="1">
                  <c:v>99.5</c:v>
                </c:pt>
                <c:pt idx="2">
                  <c:v>100</c:v>
                </c:pt>
                <c:pt idx="3">
                  <c:v>100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2401792"/>
        <c:axId val="172403328"/>
      </c:barChart>
      <c:catAx>
        <c:axId val="1724017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24033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2403328"/>
        <c:scaling>
          <c:orientation val="minMax"/>
          <c:max val="110"/>
          <c:min val="0"/>
        </c:scaling>
        <c:delete val="0"/>
        <c:axPos val="l"/>
        <c:majorGridlines>
          <c:spPr>
            <a:ln w="316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2401792"/>
        <c:crosses val="autoZero"/>
        <c:crossBetween val="between"/>
        <c:majorUnit val="10"/>
      </c:valAx>
      <c:spPr>
        <a:solidFill>
          <a:srgbClr val="C0C0C0"/>
        </a:solidFill>
        <a:ln w="12639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683006535947712"/>
          <c:y val="0.33004926108374383"/>
          <c:w val="0.3202614379084967"/>
          <c:h val="0.25615763546798032"/>
        </c:manualLayout>
      </c:layout>
      <c:overlay val="0"/>
      <c:spPr>
        <a:noFill/>
        <a:ln w="3160">
          <a:solidFill>
            <a:srgbClr val="000000"/>
          </a:solidFill>
          <a:prstDash val="solid"/>
        </a:ln>
      </c:spPr>
      <c:txPr>
        <a:bodyPr/>
        <a:lstStyle/>
        <a:p>
          <a:pPr>
            <a:defRPr sz="821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5956678700361008E-2"/>
          <c:y val="9.583333333333334E-2"/>
          <c:w val="0.59386281588447654"/>
          <c:h val="0.7333333333333332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Доля выпускников, не получивших аттестат 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9999FF" mc:Ignorable="a14" a14:legacySpreadsheetColorIndex="24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24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5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2011г.</c:v>
                </c:pt>
                <c:pt idx="1">
                  <c:v>2012г.</c:v>
                </c:pt>
                <c:pt idx="2">
                  <c:v>2013г.</c:v>
                </c:pt>
                <c:pt idx="3">
                  <c:v>2014г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4.4000000000000004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5082112"/>
        <c:axId val="175083904"/>
      </c:barChart>
      <c:catAx>
        <c:axId val="1750821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50839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5083904"/>
        <c:scaling>
          <c:orientation val="minMax"/>
          <c:max val="5"/>
          <c:min val="0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5082112"/>
        <c:crosses val="autoZero"/>
        <c:crossBetween val="between"/>
        <c:majorUnit val="1"/>
        <c:minorUnit val="1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6787003610108309"/>
          <c:y val="0.375"/>
          <c:w val="0.32490974729241878"/>
          <c:h val="0.16666666666666666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6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hPercent val="50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4150943396226415E-2"/>
          <c:y val="6.5934065934065936E-2"/>
          <c:w val="0.57169811320754715"/>
          <c:h val="0.7472527472527472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доля муниципальных общеобразовательных учреждений, соответствующих современным требованиям, %</c:v>
                </c:pt>
              </c:strCache>
            </c:strRef>
          </c:tx>
          <c:spPr>
            <a:pattFill prst="pct90">
              <a:fgClr>
                <a:srgbClr xmlns:mc="http://schemas.openxmlformats.org/markup-compatibility/2006" xmlns:a14="http://schemas.microsoft.com/office/drawing/2010/main" val="800080" mc:Ignorable="a14" a14:legacySpreadsheetColorIndex="20"/>
              </a:fgClr>
              <a:bgClr>
                <a:srgbClr xmlns:mc="http://schemas.openxmlformats.org/markup-compatibility/2006" xmlns:a14="http://schemas.microsoft.com/office/drawing/2010/main" val="9999FF" mc:Ignorable="a14" a14:legacySpreadsheetColorIndex="24"/>
              </a:bgClr>
            </a:pattFill>
            <a:ln w="1262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2010г</c:v>
                </c:pt>
                <c:pt idx="1">
                  <c:v>2011г</c:v>
                </c:pt>
                <c:pt idx="2">
                  <c:v>2012г</c:v>
                </c:pt>
                <c:pt idx="3">
                  <c:v>2013г.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71</c:v>
                </c:pt>
                <c:pt idx="1">
                  <c:v>71</c:v>
                </c:pt>
                <c:pt idx="2">
                  <c:v>79</c:v>
                </c:pt>
                <c:pt idx="3">
                  <c:v>86</c:v>
                </c:pt>
              </c:numCache>
            </c:numRef>
          </c:val>
          <c:shape val="pyramidToMax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75096192"/>
        <c:axId val="175097728"/>
        <c:axId val="0"/>
      </c:bar3DChart>
      <c:catAx>
        <c:axId val="1750961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5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50977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5097728"/>
        <c:scaling>
          <c:orientation val="minMax"/>
        </c:scaling>
        <c:delete val="0"/>
        <c:axPos val="l"/>
        <c:majorGridlines>
          <c:spPr>
            <a:ln w="3157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5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5096192"/>
        <c:crosses val="autoZero"/>
        <c:crossBetween val="between"/>
      </c:valAx>
      <c:spPr>
        <a:noFill/>
        <a:ln w="25259">
          <a:noFill/>
        </a:ln>
      </c:spPr>
    </c:plotArea>
    <c:legend>
      <c:legendPos val="r"/>
      <c:layout>
        <c:manualLayout>
          <c:xMode val="edge"/>
          <c:yMode val="edge"/>
          <c:x val="0.65660377358490563"/>
          <c:y val="0.29120879120879123"/>
          <c:w val="0.33584905660377357"/>
          <c:h val="0.4175824175824176"/>
        </c:manualLayout>
      </c:layout>
      <c:overlay val="0"/>
      <c:spPr>
        <a:noFill/>
        <a:ln w="3157">
          <a:solidFill>
            <a:srgbClr val="000000"/>
          </a:solidFill>
          <a:prstDash val="solid"/>
        </a:ln>
      </c:spPr>
      <c:txPr>
        <a:bodyPr/>
        <a:lstStyle/>
        <a:p>
          <a:pPr>
            <a:defRPr sz="731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hPercent val="50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46875E-2"/>
          <c:y val="6.5217391304347824E-2"/>
          <c:w val="0.607421875"/>
          <c:h val="0.7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доля детей первой и второй групп здоровья в общей численности обучающихся, %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25">
                    <a:gamma/>
                    <a:shade val="46275"/>
                    <a:invGamma/>
                  </a:srgbClr>
                </a:gs>
                <a:gs pos="100000">
                  <a:srgbClr xmlns:mc="http://schemas.openxmlformats.org/markup-compatibility/2006" xmlns:a14="http://schemas.microsoft.com/office/drawing/2010/main" val="993366" mc:Ignorable="a14" a14:legacySpreadsheetColorIndex="25"/>
                </a:gs>
              </a:gsLst>
              <a:lin ang="5400000" scaled="1"/>
            </a:gradFill>
            <a:ln w="9522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76.400000000000006</c:v>
                </c:pt>
                <c:pt idx="1">
                  <c:v>75.599999999999994</c:v>
                </c:pt>
                <c:pt idx="2">
                  <c:v>84.4</c:v>
                </c:pt>
                <c:pt idx="3">
                  <c:v>86.6</c:v>
                </c:pt>
              </c:numCache>
            </c:numRef>
          </c:val>
          <c:shape val="pyramidToMax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75118208"/>
        <c:axId val="175119744"/>
        <c:axId val="0"/>
      </c:bar3DChart>
      <c:catAx>
        <c:axId val="1751182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3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511974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5119744"/>
        <c:scaling>
          <c:orientation val="minMax"/>
        </c:scaling>
        <c:delete val="0"/>
        <c:axPos val="l"/>
        <c:majorGridlines>
          <c:spPr>
            <a:ln w="2381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23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5118208"/>
        <c:crosses val="autoZero"/>
        <c:crossBetween val="between"/>
      </c:valAx>
      <c:spPr>
        <a:noFill/>
        <a:ln w="19044">
          <a:noFill/>
        </a:ln>
      </c:spPr>
    </c:plotArea>
    <c:legend>
      <c:legendPos val="r"/>
      <c:layout>
        <c:manualLayout>
          <c:xMode val="edge"/>
          <c:yMode val="edge"/>
          <c:x val="0.68359375"/>
          <c:y val="0.33152173913043476"/>
          <c:w val="0.30859375"/>
          <c:h val="0.33695652173913043"/>
        </c:manualLayout>
      </c:layout>
      <c:overlay val="0"/>
      <c:spPr>
        <a:noFill/>
        <a:ln w="2381">
          <a:solidFill>
            <a:srgbClr val="000000"/>
          </a:solidFill>
          <a:prstDash val="solid"/>
        </a:ln>
      </c:spPr>
      <c:txPr>
        <a:bodyPr/>
        <a:lstStyle/>
        <a:p>
          <a:pPr>
            <a:defRPr sz="551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hPercent val="44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3.7288135593220341E-2"/>
          <c:y val="6.5934065934065936E-2"/>
          <c:w val="0.60169491525423724"/>
          <c:h val="0.7472527472527472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доля обучающихся в муниципальных общеобразовательных учреждениях, занимающихся во вторую смену, %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800080" mc:Ignorable="a14" a14:legacySpreadsheetColorIndex="20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20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9523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2011г.</c:v>
                </c:pt>
                <c:pt idx="1">
                  <c:v>2012г.</c:v>
                </c:pt>
                <c:pt idx="2">
                  <c:v>2013г.</c:v>
                </c:pt>
                <c:pt idx="3">
                  <c:v>2014г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5.4</c:v>
                </c:pt>
                <c:pt idx="1">
                  <c:v>5.21</c:v>
                </c:pt>
                <c:pt idx="2">
                  <c:v>3.07</c:v>
                </c:pt>
                <c:pt idx="3">
                  <c:v>3.11</c:v>
                </c:pt>
              </c:numCache>
            </c:numRef>
          </c:val>
          <c:shape val="pyramidToMax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75193472"/>
        <c:axId val="175199360"/>
        <c:axId val="0"/>
      </c:bar3DChart>
      <c:catAx>
        <c:axId val="1751934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3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519936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5199360"/>
        <c:scaling>
          <c:orientation val="minMax"/>
        </c:scaling>
        <c:delete val="0"/>
        <c:axPos val="l"/>
        <c:majorGridlines>
          <c:spPr>
            <a:ln w="2381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23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5193472"/>
        <c:crosses val="autoZero"/>
        <c:crossBetween val="between"/>
      </c:valAx>
      <c:spPr>
        <a:noFill/>
        <a:ln w="19045">
          <a:noFill/>
        </a:ln>
      </c:spPr>
    </c:plotArea>
    <c:legend>
      <c:legendPos val="r"/>
      <c:layout>
        <c:manualLayout>
          <c:xMode val="edge"/>
          <c:yMode val="edge"/>
          <c:x val="0.65762711864406775"/>
          <c:y val="0.29120879120879123"/>
          <c:w val="0.33559322033898303"/>
          <c:h val="0.4175824175824176"/>
        </c:manualLayout>
      </c:layout>
      <c:overlay val="0"/>
      <c:spPr>
        <a:noFill/>
        <a:ln w="2381">
          <a:solidFill>
            <a:srgbClr val="000000"/>
          </a:solidFill>
          <a:prstDash val="solid"/>
        </a:ln>
      </c:spPr>
      <c:txPr>
        <a:bodyPr/>
        <a:lstStyle/>
        <a:p>
          <a:pPr>
            <a:defRPr sz="551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hPercent val="44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6761268781302172E-2"/>
          <c:y val="5.9782608695652176E-2"/>
          <c:w val="0.57929883138564275"/>
          <c:h val="0.7554347826086956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расходы бюджета муниципального образования на общее образование в расчете на 1 обучающегося, тыс. руб.</c:v>
                </c:pt>
              </c:strCache>
            </c:strRef>
          </c:tx>
          <c:spPr>
            <a:solidFill>
              <a:srgbClr val="993366"/>
            </a:solidFill>
            <a:ln w="9522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19044">
                <a:noFill/>
              </a:ln>
            </c:spPr>
            <c:txPr>
              <a:bodyPr/>
              <a:lstStyle/>
              <a:p>
                <a:pPr>
                  <a:defRPr sz="6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2011г.</c:v>
                </c:pt>
                <c:pt idx="1">
                  <c:v>2012г.</c:v>
                </c:pt>
                <c:pt idx="2">
                  <c:v>2013г.</c:v>
                </c:pt>
                <c:pt idx="3">
                  <c:v>2014г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78.2</c:v>
                </c:pt>
                <c:pt idx="1">
                  <c:v>102.8</c:v>
                </c:pt>
                <c:pt idx="2">
                  <c:v>101.9</c:v>
                </c:pt>
                <c:pt idx="3">
                  <c:v>95.4</c:v>
                </c:pt>
              </c:numCache>
            </c:numRef>
          </c:val>
          <c:shape val="pyramid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75219840"/>
        <c:axId val="175221376"/>
        <c:axId val="0"/>
      </c:bar3DChart>
      <c:catAx>
        <c:axId val="1752198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3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522137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5221376"/>
        <c:scaling>
          <c:orientation val="minMax"/>
        </c:scaling>
        <c:delete val="0"/>
        <c:axPos val="l"/>
        <c:majorGridlines>
          <c:spPr>
            <a:ln w="2381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23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5219840"/>
        <c:crosses val="autoZero"/>
        <c:crossBetween val="between"/>
      </c:valAx>
      <c:spPr>
        <a:noFill/>
        <a:ln w="19044">
          <a:noFill/>
        </a:ln>
      </c:spPr>
    </c:plotArea>
    <c:legend>
      <c:legendPos val="r"/>
      <c:layout>
        <c:manualLayout>
          <c:xMode val="edge"/>
          <c:yMode val="edge"/>
          <c:x val="0.65442404006677801"/>
          <c:y val="0.33152173913043476"/>
          <c:w val="0.33889816360600999"/>
          <c:h val="0.33695652173913043"/>
        </c:manualLayout>
      </c:layout>
      <c:overlay val="0"/>
      <c:spPr>
        <a:noFill/>
        <a:ln w="2381">
          <a:solidFill>
            <a:srgbClr val="000000"/>
          </a:solidFill>
          <a:prstDash val="solid"/>
        </a:ln>
      </c:spPr>
      <c:txPr>
        <a:bodyPr/>
        <a:lstStyle/>
        <a:p>
          <a:pPr>
            <a:defRPr sz="551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hPercent val="45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0283687943262408E-2"/>
          <c:y val="6.5934065934065936E-2"/>
          <c:w val="0.59751773049645385"/>
          <c:h val="0.7472527472527472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доля объектов культурного наследия, находящихся в муниципальной собственности и требующих косервации, %</c:v>
                </c:pt>
              </c:strCache>
            </c:strRef>
          </c:tx>
          <c:spPr>
            <a:solidFill>
              <a:srgbClr val="800080"/>
            </a:solidFill>
            <a:ln w="9523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2011г.</c:v>
                </c:pt>
                <c:pt idx="1">
                  <c:v>2012г.</c:v>
                </c:pt>
                <c:pt idx="2">
                  <c:v>2013г.</c:v>
                </c:pt>
                <c:pt idx="3">
                  <c:v>2014г.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100</c:v>
                </c:pt>
                <c:pt idx="1">
                  <c:v>100</c:v>
                </c:pt>
                <c:pt idx="2">
                  <c:v>92</c:v>
                </c:pt>
                <c:pt idx="3">
                  <c:v>75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72272256"/>
        <c:axId val="175149440"/>
        <c:axId val="0"/>
      </c:bar3DChart>
      <c:catAx>
        <c:axId val="172272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3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51494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5149440"/>
        <c:scaling>
          <c:orientation val="minMax"/>
        </c:scaling>
        <c:delete val="0"/>
        <c:axPos val="l"/>
        <c:majorGridlines>
          <c:spPr>
            <a:ln w="2381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23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2272256"/>
        <c:crosses val="autoZero"/>
        <c:crossBetween val="between"/>
      </c:valAx>
      <c:spPr>
        <a:noFill/>
        <a:ln w="19045">
          <a:noFill/>
        </a:ln>
      </c:spPr>
    </c:plotArea>
    <c:legend>
      <c:legendPos val="r"/>
      <c:layout>
        <c:manualLayout>
          <c:xMode val="edge"/>
          <c:yMode val="edge"/>
          <c:x val="0.67730496453900713"/>
          <c:y val="0.29120879120879123"/>
          <c:w val="0.31560283687943264"/>
          <c:h val="0.4175824175824176"/>
        </c:manualLayout>
      </c:layout>
      <c:overlay val="0"/>
      <c:spPr>
        <a:noFill/>
        <a:ln w="2381">
          <a:solidFill>
            <a:srgbClr val="000000"/>
          </a:solidFill>
          <a:prstDash val="solid"/>
        </a:ln>
      </c:spPr>
      <c:txPr>
        <a:bodyPr/>
        <a:lstStyle/>
        <a:p>
          <a:pPr>
            <a:defRPr sz="551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hPercent val="49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46875E-2"/>
          <c:y val="7.0652173913043473E-2"/>
          <c:w val="0.61328125"/>
          <c:h val="0.7445652173913043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доля населения, систематически занимающегося физической культурой и спортом, %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25">
                    <a:gamma/>
                    <a:shade val="46275"/>
                    <a:invGamma/>
                  </a:srgbClr>
                </a:gs>
                <a:gs pos="100000">
                  <a:srgbClr xmlns:mc="http://schemas.openxmlformats.org/markup-compatibility/2006" xmlns:a14="http://schemas.microsoft.com/office/drawing/2010/main" val="993366" mc:Ignorable="a14" a14:legacySpreadsheetColorIndex="25"/>
                </a:gs>
              </a:gsLst>
              <a:lin ang="5400000" scaled="1"/>
            </a:gradFill>
            <a:ln w="12627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254">
                <a:noFill/>
              </a:ln>
            </c:spPr>
            <c:txPr>
              <a:bodyPr/>
              <a:lstStyle/>
              <a:p>
                <a:pPr>
                  <a:defRPr sz="795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Sheet1!$B$1:$E$1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13.1</c:v>
                </c:pt>
                <c:pt idx="1">
                  <c:v>13.72</c:v>
                </c:pt>
                <c:pt idx="2">
                  <c:v>19.420000000000002</c:v>
                </c:pt>
                <c:pt idx="3">
                  <c:v>29.4</c:v>
                </c:pt>
              </c:numCache>
            </c:numRef>
          </c:val>
          <c:shape val="pyramidToMax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75325952"/>
        <c:axId val="175327488"/>
        <c:axId val="0"/>
      </c:bar3DChart>
      <c:catAx>
        <c:axId val="1753259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5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53274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5327488"/>
        <c:scaling>
          <c:orientation val="minMax"/>
        </c:scaling>
        <c:delete val="0"/>
        <c:axPos val="l"/>
        <c:majorGridlines>
          <c:spPr>
            <a:ln w="3157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5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5325952"/>
        <c:crosses val="autoZero"/>
        <c:crossBetween val="between"/>
      </c:valAx>
      <c:spPr>
        <a:noFill/>
        <a:ln w="25254">
          <a:noFill/>
        </a:ln>
      </c:spPr>
    </c:plotArea>
    <c:legend>
      <c:legendPos val="r"/>
      <c:layout>
        <c:manualLayout>
          <c:xMode val="edge"/>
          <c:yMode val="edge"/>
          <c:x val="0.689453125"/>
          <c:y val="0.29347826086956524"/>
          <c:w val="0.302734375"/>
          <c:h val="0.41304347826086957"/>
        </c:manualLayout>
      </c:layout>
      <c:overlay val="0"/>
      <c:spPr>
        <a:noFill/>
        <a:ln w="3157">
          <a:solidFill>
            <a:srgbClr val="000000"/>
          </a:solidFill>
          <a:prstDash val="solid"/>
        </a:ln>
      </c:spPr>
      <c:txPr>
        <a:bodyPr/>
        <a:lstStyle/>
        <a:p>
          <a:pPr>
            <a:defRPr sz="731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hPercent val="40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6142322097378279E-2"/>
          <c:y val="7.2289156626506021E-2"/>
          <c:w val="0.61423220973782766"/>
          <c:h val="0.7228915662650602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объем инвестиций в основной капитал на 1 жителя</c:v>
                </c:pt>
              </c:strCache>
            </c:strRef>
          </c:tx>
          <c:spPr>
            <a:solidFill>
              <a:srgbClr val="008080"/>
            </a:solidFill>
            <a:ln w="1263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2011г</c:v>
                </c:pt>
                <c:pt idx="1">
                  <c:v>2012г</c:v>
                </c:pt>
                <c:pt idx="2">
                  <c:v>2013г</c:v>
                </c:pt>
                <c:pt idx="3">
                  <c:v>2014г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14407</c:v>
                </c:pt>
                <c:pt idx="1">
                  <c:v>11398</c:v>
                </c:pt>
                <c:pt idx="2">
                  <c:v>13192</c:v>
                </c:pt>
                <c:pt idx="3">
                  <c:v>14930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32200960"/>
        <c:axId val="32223232"/>
        <c:axId val="0"/>
      </c:bar3DChart>
      <c:catAx>
        <c:axId val="322009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5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22232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2223232"/>
        <c:scaling>
          <c:orientation val="minMax"/>
        </c:scaling>
        <c:delete val="0"/>
        <c:axPos val="l"/>
        <c:majorGridlines>
          <c:spPr>
            <a:ln w="3157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5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2200960"/>
        <c:crosses val="autoZero"/>
        <c:crossBetween val="between"/>
      </c:valAx>
      <c:spPr>
        <a:noFill/>
        <a:ln w="25260">
          <a:noFill/>
        </a:ln>
      </c:spPr>
    </c:plotArea>
    <c:legend>
      <c:legendPos val="r"/>
      <c:layout>
        <c:manualLayout>
          <c:xMode val="edge"/>
          <c:yMode val="edge"/>
          <c:x val="0.72097378277153557"/>
          <c:y val="0.35542168674698793"/>
          <c:w val="0.27153558052434457"/>
          <c:h val="0.28915662650602408"/>
        </c:manualLayout>
      </c:layout>
      <c:overlay val="0"/>
      <c:spPr>
        <a:noFill/>
        <a:ln w="3157">
          <a:solidFill>
            <a:srgbClr val="000000"/>
          </a:solidFill>
          <a:prstDash val="solid"/>
        </a:ln>
      </c:spPr>
      <c:txPr>
        <a:bodyPr/>
        <a:lstStyle/>
        <a:p>
          <a:pPr>
            <a:defRPr sz="731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5276381909547742E-2"/>
          <c:y val="0.1111111111111111"/>
          <c:w val="0.60804020100502509"/>
          <c:h val="0.6984126984126983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площадь земельных участков, представленных для строительства в расчете на 10 тыс.чел. населения, гектаров</c:v>
                </c:pt>
              </c:strCache>
            </c:strRef>
          </c:tx>
          <c:spPr>
            <a:solidFill>
              <a:srgbClr val="9999FF"/>
            </a:solidFill>
            <a:ln w="9523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19045">
                <a:noFill/>
              </a:ln>
            </c:spPr>
            <c:txPr>
              <a:bodyPr/>
              <a:lstStyle/>
              <a:p>
                <a:pPr>
                  <a:defRPr sz="61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2011г.</c:v>
                </c:pt>
                <c:pt idx="1">
                  <c:v>2012г.</c:v>
                </c:pt>
                <c:pt idx="2">
                  <c:v>2013г.</c:v>
                </c:pt>
                <c:pt idx="3">
                  <c:v>2014г</c:v>
                </c:pt>
                <c:pt idx="4">
                  <c:v>2015г</c:v>
                </c:pt>
                <c:pt idx="5">
                  <c:v>2016г</c:v>
                </c:pt>
                <c:pt idx="6">
                  <c:v>2017г</c:v>
                </c:pt>
              </c:strCache>
            </c:strRef>
          </c:cat>
          <c:val>
            <c:numRef>
              <c:f>Sheet1!$B$2:$H$2</c:f>
              <c:numCache>
                <c:formatCode>General</c:formatCode>
                <c:ptCount val="7"/>
                <c:pt idx="0">
                  <c:v>5.6</c:v>
                </c:pt>
                <c:pt idx="1">
                  <c:v>5.6</c:v>
                </c:pt>
                <c:pt idx="2">
                  <c:v>5.7</c:v>
                </c:pt>
                <c:pt idx="3">
                  <c:v>9.9</c:v>
                </c:pt>
                <c:pt idx="4">
                  <c:v>10</c:v>
                </c:pt>
                <c:pt idx="5">
                  <c:v>10.1</c:v>
                </c:pt>
                <c:pt idx="6">
                  <c:v>10.199999999999999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75383680"/>
        <c:axId val="175394816"/>
      </c:barChart>
      <c:catAx>
        <c:axId val="1753836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23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1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539481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5394816"/>
        <c:scaling>
          <c:orientation val="minMax"/>
        </c:scaling>
        <c:delete val="0"/>
        <c:axPos val="l"/>
        <c:majorGridlines>
          <c:spPr>
            <a:ln w="2381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23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1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5383680"/>
        <c:crosses val="autoZero"/>
        <c:crossBetween val="between"/>
      </c:valAx>
      <c:spPr>
        <a:solidFill>
          <a:srgbClr val="C0C0C0"/>
        </a:solidFill>
        <a:ln w="9523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8006700167504186"/>
          <c:y val="0.29100529100529099"/>
          <c:w val="0.31323283082077052"/>
          <c:h val="0.32804232804232802"/>
        </c:manualLayout>
      </c:layout>
      <c:overlay val="0"/>
      <c:spPr>
        <a:noFill/>
        <a:ln w="2381">
          <a:solidFill>
            <a:srgbClr val="000000"/>
          </a:solidFill>
          <a:prstDash val="solid"/>
        </a:ln>
      </c:spPr>
      <c:txPr>
        <a:bodyPr/>
        <a:lstStyle/>
        <a:p>
          <a:pPr>
            <a:defRPr sz="566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1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hPercent val="41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5374592833876218E-2"/>
          <c:y val="7.6923076923076927E-2"/>
          <c:w val="0.60423452768729646"/>
          <c:h val="0.7362637362637363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доля многоквартирных домов, расположенных на земельных участках, в отношении которых осуществлен государственный кадастровый учет, %</c:v>
                </c:pt>
              </c:strCache>
            </c:strRef>
          </c:tx>
          <c:spPr>
            <a:pattFill prst="pct90">
              <a:fgClr>
                <a:srgbClr xmlns:mc="http://schemas.openxmlformats.org/markup-compatibility/2006" xmlns:a14="http://schemas.microsoft.com/office/drawing/2010/main" val="9999FF" mc:Ignorable="a14" a14:legacySpreadsheetColorIndex="24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3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Sheet1!$B$1:$H$1</c:f>
              <c:strCache>
                <c:ptCount val="7"/>
                <c:pt idx="0">
                  <c:v>2011г.</c:v>
                </c:pt>
                <c:pt idx="1">
                  <c:v>2012г.</c:v>
                </c:pt>
                <c:pt idx="2">
                  <c:v>2013г.</c:v>
                </c:pt>
                <c:pt idx="3">
                  <c:v>2014г</c:v>
                </c:pt>
                <c:pt idx="4">
                  <c:v>2015г</c:v>
                </c:pt>
                <c:pt idx="5">
                  <c:v>2016г</c:v>
                </c:pt>
                <c:pt idx="6">
                  <c:v>2017г</c:v>
                </c:pt>
              </c:strCache>
            </c:strRef>
          </c:cat>
          <c:val>
            <c:numRef>
              <c:f>Sheet1!$B$2:$H$2</c:f>
              <c:numCache>
                <c:formatCode>General</c:formatCode>
                <c:ptCount val="7"/>
                <c:pt idx="0">
                  <c:v>50</c:v>
                </c:pt>
                <c:pt idx="1">
                  <c:v>60</c:v>
                </c:pt>
                <c:pt idx="2">
                  <c:v>63</c:v>
                </c:pt>
                <c:pt idx="3">
                  <c:v>70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298192896"/>
        <c:axId val="298194432"/>
        <c:axId val="0"/>
      </c:bar3DChart>
      <c:catAx>
        <c:axId val="2981928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981944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98194432"/>
        <c:scaling>
          <c:orientation val="minMax"/>
        </c:scaling>
        <c:delete val="0"/>
        <c:axPos val="l"/>
        <c:majorGridlines>
          <c:spPr>
            <a:ln w="316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98192896"/>
        <c:crosses val="autoZero"/>
        <c:crossBetween val="between"/>
      </c:valAx>
      <c:spPr>
        <a:noFill/>
        <a:ln w="25278">
          <a:noFill/>
        </a:ln>
      </c:spPr>
    </c:plotArea>
    <c:legend>
      <c:legendPos val="r"/>
      <c:layout>
        <c:manualLayout>
          <c:xMode val="edge"/>
          <c:yMode val="edge"/>
          <c:x val="0.67752442996742668"/>
          <c:y val="0.29120879120879123"/>
          <c:w val="0.31596091205211724"/>
          <c:h val="0.4175824175824176"/>
        </c:manualLayout>
      </c:layout>
      <c:overlay val="0"/>
      <c:spPr>
        <a:noFill/>
        <a:ln w="3160">
          <a:solidFill>
            <a:srgbClr val="000000"/>
          </a:solidFill>
          <a:prstDash val="solid"/>
        </a:ln>
      </c:spPr>
      <c:txPr>
        <a:bodyPr/>
        <a:lstStyle/>
        <a:p>
          <a:pPr>
            <a:defRPr sz="731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hPercent val="4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4.7538200339558571E-2"/>
          <c:y val="6.043956043956044E-2"/>
          <c:w val="0.60611205432937176"/>
          <c:h val="0.7527472527472527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доля населения, получившего жилые помещения и улучшившего жилищные условия в отчетном году, %</c:v>
                </c:pt>
              </c:strCache>
            </c:strRef>
          </c:tx>
          <c:spPr>
            <a:pattFill prst="lgCheck">
              <a:fgClr>
                <a:srgbClr xmlns:mc="http://schemas.openxmlformats.org/markup-compatibility/2006" xmlns:a14="http://schemas.microsoft.com/office/drawing/2010/main" val="9999FF" mc:Ignorable="a14" a14:legacySpreadsheetColorIndex="24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36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2011г.</c:v>
                </c:pt>
                <c:pt idx="1">
                  <c:v>2012г.</c:v>
                </c:pt>
                <c:pt idx="2">
                  <c:v>2013г.</c:v>
                </c:pt>
                <c:pt idx="3">
                  <c:v>2014г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31</c:v>
                </c:pt>
                <c:pt idx="1">
                  <c:v>19</c:v>
                </c:pt>
                <c:pt idx="2">
                  <c:v>26</c:v>
                </c:pt>
                <c:pt idx="3">
                  <c:v>7.4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448280064"/>
        <c:axId val="448281600"/>
        <c:axId val="0"/>
      </c:bar3DChart>
      <c:catAx>
        <c:axId val="4482800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5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482816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48281600"/>
        <c:scaling>
          <c:orientation val="minMax"/>
        </c:scaling>
        <c:delete val="0"/>
        <c:axPos val="l"/>
        <c:majorGridlines>
          <c:spPr>
            <a:ln w="3159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5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48280064"/>
        <c:crosses val="autoZero"/>
        <c:crossBetween val="between"/>
      </c:valAx>
      <c:spPr>
        <a:noFill/>
        <a:ln w="25273">
          <a:noFill/>
        </a:ln>
      </c:spPr>
    </c:plotArea>
    <c:legend>
      <c:legendPos val="r"/>
      <c:layout>
        <c:manualLayout>
          <c:xMode val="edge"/>
          <c:yMode val="edge"/>
          <c:x val="0.67232597623089985"/>
          <c:y val="0.32967032967032966"/>
          <c:w val="0.32088285229202035"/>
          <c:h val="0.34065934065934067"/>
        </c:manualLayout>
      </c:layout>
      <c:overlay val="0"/>
      <c:spPr>
        <a:noFill/>
        <a:ln w="3159">
          <a:solidFill>
            <a:srgbClr val="000000"/>
          </a:solidFill>
          <a:prstDash val="solid"/>
        </a:ln>
      </c:spPr>
      <c:txPr>
        <a:bodyPr/>
        <a:lstStyle/>
        <a:p>
          <a:pPr>
            <a:defRPr sz="731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hPercent val="4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C0C0C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C0C0C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4.690117252931323E-2"/>
          <c:y val="8.2417582417582416E-2"/>
          <c:w val="0.59798994974874375"/>
          <c:h val="0.7307692307692307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доля налоговых и неналоговых доходов местного бюджета в общем объеме собственных доходов бюджета МО, %</c:v>
                </c:pt>
              </c:strCache>
            </c:strRef>
          </c:tx>
          <c:spPr>
            <a:solidFill>
              <a:srgbClr val="9999FF"/>
            </a:solidFill>
            <a:ln w="12616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233">
                <a:noFill/>
              </a:ln>
            </c:spPr>
            <c:txPr>
              <a:bodyPr/>
              <a:lstStyle/>
              <a:p>
                <a:pPr>
                  <a:defRPr sz="795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2011г</c:v>
                </c:pt>
                <c:pt idx="1">
                  <c:v>2012г.</c:v>
                </c:pt>
                <c:pt idx="2">
                  <c:v>2013г.</c:v>
                </c:pt>
                <c:pt idx="3">
                  <c:v>2014г</c:v>
                </c:pt>
                <c:pt idx="4">
                  <c:v>2015г</c:v>
                </c:pt>
                <c:pt idx="5">
                  <c:v>2016г</c:v>
                </c:pt>
                <c:pt idx="6">
                  <c:v>2017г</c:v>
                </c:pt>
              </c:strCache>
            </c:strRef>
          </c:cat>
          <c:val>
            <c:numRef>
              <c:f>Sheet1!$B$2:$H$2</c:f>
              <c:numCache>
                <c:formatCode>General</c:formatCode>
                <c:ptCount val="7"/>
                <c:pt idx="0">
                  <c:v>12.38</c:v>
                </c:pt>
                <c:pt idx="1">
                  <c:v>18.309999999999999</c:v>
                </c:pt>
                <c:pt idx="2">
                  <c:v>15.13</c:v>
                </c:pt>
                <c:pt idx="3">
                  <c:v>15.21</c:v>
                </c:pt>
                <c:pt idx="4">
                  <c:v>15.68</c:v>
                </c:pt>
                <c:pt idx="5">
                  <c:v>16.14</c:v>
                </c:pt>
                <c:pt idx="6">
                  <c:v>16.399999999999999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448396672"/>
        <c:axId val="175309952"/>
        <c:axId val="0"/>
      </c:bar3DChart>
      <c:catAx>
        <c:axId val="4483966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5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53099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5309952"/>
        <c:scaling>
          <c:orientation val="minMax"/>
        </c:scaling>
        <c:delete val="0"/>
        <c:axPos val="l"/>
        <c:majorGridlines>
          <c:spPr>
            <a:ln w="3154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5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48396672"/>
        <c:crosses val="autoZero"/>
        <c:crossBetween val="between"/>
      </c:valAx>
      <c:spPr>
        <a:noFill/>
        <a:ln w="25233">
          <a:noFill/>
        </a:ln>
      </c:spPr>
    </c:plotArea>
    <c:legend>
      <c:legendPos val="r"/>
      <c:layout>
        <c:manualLayout>
          <c:xMode val="edge"/>
          <c:yMode val="edge"/>
          <c:x val="0.66331658291457285"/>
          <c:y val="0.32967032967032966"/>
          <c:w val="0.32998324958123953"/>
          <c:h val="0.34065934065934067"/>
        </c:manualLayout>
      </c:layout>
      <c:overlay val="0"/>
      <c:spPr>
        <a:noFill/>
        <a:ln w="3154">
          <a:solidFill>
            <a:srgbClr val="000000"/>
          </a:solidFill>
          <a:prstDash val="solid"/>
        </a:ln>
      </c:spPr>
      <c:txPr>
        <a:bodyPr/>
        <a:lstStyle/>
        <a:p>
          <a:pPr>
            <a:defRPr sz="73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hPercent val="50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1369863013698627E-2"/>
          <c:y val="7.7669902912621352E-2"/>
          <c:w val="0.60445205479452058"/>
          <c:h val="0.7524271844660194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доля площади земельных участков, являющихся объектам налогооблажения земельным налогом (%)</c:v>
                </c:pt>
              </c:strCache>
            </c:strRef>
          </c:tx>
          <c:spPr>
            <a:solidFill>
              <a:srgbClr val="9999FF"/>
            </a:solidFill>
            <a:ln w="12614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Sheet1!$B$1:$H$1</c:f>
              <c:strCache>
                <c:ptCount val="7"/>
                <c:pt idx="0">
                  <c:v>2011г</c:v>
                </c:pt>
                <c:pt idx="1">
                  <c:v>2012г</c:v>
                </c:pt>
                <c:pt idx="2">
                  <c:v>2013г</c:v>
                </c:pt>
                <c:pt idx="3">
                  <c:v>2014г</c:v>
                </c:pt>
                <c:pt idx="4">
                  <c:v>2015г</c:v>
                </c:pt>
                <c:pt idx="5">
                  <c:v>2016г</c:v>
                </c:pt>
                <c:pt idx="6">
                  <c:v>2017г</c:v>
                </c:pt>
              </c:strCache>
            </c:strRef>
          </c:cat>
          <c:val>
            <c:numRef>
              <c:f>Sheet1!$B$2:$H$2</c:f>
              <c:numCache>
                <c:formatCode>General</c:formatCode>
                <c:ptCount val="7"/>
                <c:pt idx="0">
                  <c:v>25</c:v>
                </c:pt>
                <c:pt idx="1">
                  <c:v>30</c:v>
                </c:pt>
                <c:pt idx="2">
                  <c:v>30</c:v>
                </c:pt>
                <c:pt idx="3">
                  <c:v>30</c:v>
                </c:pt>
                <c:pt idx="4">
                  <c:v>35</c:v>
                </c:pt>
                <c:pt idx="5">
                  <c:v>35</c:v>
                </c:pt>
                <c:pt idx="6">
                  <c:v>37</c:v>
                </c:pt>
              </c:numCache>
            </c:numRef>
          </c:val>
          <c:shape val="pyramid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39260160"/>
        <c:axId val="39261696"/>
        <c:axId val="0"/>
      </c:bar3DChart>
      <c:catAx>
        <c:axId val="392601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5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4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26169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261696"/>
        <c:scaling>
          <c:orientation val="minMax"/>
        </c:scaling>
        <c:delete val="0"/>
        <c:axPos val="l"/>
        <c:majorGridlines>
          <c:spPr>
            <a:ln w="3154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5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4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260160"/>
        <c:crosses val="autoZero"/>
        <c:crossBetween val="between"/>
      </c:valAx>
      <c:spPr>
        <a:noFill/>
        <a:ln w="25229">
          <a:noFill/>
        </a:ln>
      </c:spPr>
    </c:plotArea>
    <c:legend>
      <c:legendPos val="r"/>
      <c:layout>
        <c:manualLayout>
          <c:xMode val="edge"/>
          <c:yMode val="edge"/>
          <c:x val="0.67465753424657537"/>
          <c:y val="0.33980582524271846"/>
          <c:w val="0.3184931506849315"/>
          <c:h val="0.32038834951456313"/>
        </c:manualLayout>
      </c:layout>
      <c:overlay val="0"/>
      <c:spPr>
        <a:noFill/>
        <a:ln w="3154">
          <a:solidFill>
            <a:srgbClr val="000000"/>
          </a:solidFill>
          <a:prstDash val="solid"/>
        </a:ln>
      </c:spPr>
      <c:txPr>
        <a:bodyPr/>
        <a:lstStyle/>
        <a:p>
          <a:pPr>
            <a:defRPr sz="819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9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hPercent val="46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5661080074487903E-2"/>
          <c:y val="6.5934065934065936E-2"/>
          <c:w val="0.58286778398510242"/>
          <c:h val="0.7472527472527472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среднемесячная зарплата работников крупных и средних п/п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2011г</c:v>
                </c:pt>
                <c:pt idx="1">
                  <c:v>2012г</c:v>
                </c:pt>
                <c:pt idx="2">
                  <c:v>2013г.</c:v>
                </c:pt>
                <c:pt idx="3">
                  <c:v>2014г.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16098.9</c:v>
                </c:pt>
                <c:pt idx="1">
                  <c:v>17988.400000000001</c:v>
                </c:pt>
                <c:pt idx="2">
                  <c:v>20489</c:v>
                </c:pt>
                <c:pt idx="3">
                  <c:v>21927.5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39278464"/>
        <c:axId val="39280000"/>
        <c:axId val="0"/>
      </c:bar3DChart>
      <c:catAx>
        <c:axId val="392784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2800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280000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27846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8901303538175052"/>
          <c:y val="0.36813186813186816"/>
          <c:w val="0.30353817504655495"/>
          <c:h val="0.26373626373626374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hPercent val="52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3032490974729242E-2"/>
          <c:y val="6.3414634146341464E-2"/>
          <c:w val="0.5830324909747292"/>
          <c:h val="0.7658536585365853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среднемесячная заработная плата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Sheet1!$B$1:$E$1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9887</c:v>
                </c:pt>
                <c:pt idx="1">
                  <c:v>11488.5</c:v>
                </c:pt>
                <c:pt idx="2">
                  <c:v>13996.1</c:v>
                </c:pt>
                <c:pt idx="3">
                  <c:v>15887.3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39295616"/>
        <c:axId val="57697792"/>
        <c:axId val="0"/>
      </c:bar3DChart>
      <c:catAx>
        <c:axId val="392956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576977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57697792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929561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859205776173285"/>
          <c:y val="0.41463414634146339"/>
          <c:w val="0.30685920577617326"/>
          <c:h val="0.17560975609756097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hPercent val="55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9.0265486725663716E-2"/>
          <c:y val="5.5045871559633031E-2"/>
          <c:w val="0.5663716814159292"/>
          <c:h val="0.7798165137614678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среднемесячная заработная плата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Sheet1!$B$1:$E$1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18150</c:v>
                </c:pt>
                <c:pt idx="1">
                  <c:v>22927.3</c:v>
                </c:pt>
                <c:pt idx="2">
                  <c:v>24809.9</c:v>
                </c:pt>
                <c:pt idx="3">
                  <c:v>27092.3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57713408"/>
        <c:axId val="57716096"/>
        <c:axId val="0"/>
      </c:bar3DChart>
      <c:catAx>
        <c:axId val="577134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5771609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57716096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5771340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610619469026545"/>
          <c:y val="0.41284403669724773"/>
          <c:w val="0.31681415929203538"/>
          <c:h val="0.1743119266055046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7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5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hPercent val="48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0560420315236428E-2"/>
          <c:y val="6.1855670103092786E-2"/>
          <c:w val="0.57618213660245188"/>
          <c:h val="0.7628865979381442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среднемесячная заработная плата</c:v>
                </c:pt>
              </c:strCache>
            </c:strRef>
          </c:tx>
          <c:spPr>
            <a:solidFill>
              <a:srgbClr val="9999FF"/>
            </a:solidFill>
            <a:ln w="12634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269">
                <a:noFill/>
              </a:ln>
            </c:spPr>
            <c:txPr>
              <a:bodyPr/>
              <a:lstStyle/>
              <a:p>
                <a:pPr>
                  <a:defRPr sz="846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Sheet1!$B$1:$E$1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22304</c:v>
                </c:pt>
                <c:pt idx="1">
                  <c:v>26493</c:v>
                </c:pt>
                <c:pt idx="2">
                  <c:v>27380</c:v>
                </c:pt>
                <c:pt idx="3">
                  <c:v>29932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57723520"/>
        <c:axId val="57726464"/>
        <c:axId val="0"/>
      </c:bar3DChart>
      <c:catAx>
        <c:axId val="577235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5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6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577264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57726464"/>
        <c:scaling>
          <c:orientation val="minMax"/>
        </c:scaling>
        <c:delete val="0"/>
        <c:axPos val="l"/>
        <c:majorGridlines>
          <c:spPr>
            <a:ln w="3159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5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6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57723520"/>
        <c:crosses val="autoZero"/>
        <c:crossBetween val="between"/>
      </c:valAx>
      <c:spPr>
        <a:noFill/>
        <a:ln w="25269">
          <a:noFill/>
        </a:ln>
      </c:spPr>
    </c:plotArea>
    <c:legend>
      <c:legendPos val="r"/>
      <c:layout>
        <c:manualLayout>
          <c:xMode val="edge"/>
          <c:yMode val="edge"/>
          <c:x val="0.67600700525394042"/>
          <c:y val="0.4484536082474227"/>
          <c:w val="0.31698774080560421"/>
          <c:h val="0.10309278350515463"/>
        </c:manualLayout>
      </c:layout>
      <c:overlay val="0"/>
      <c:spPr>
        <a:noFill/>
        <a:ln w="3159">
          <a:solidFill>
            <a:srgbClr val="000000"/>
          </a:solidFill>
          <a:prstDash val="solid"/>
        </a:ln>
      </c:spPr>
      <c:txPr>
        <a:bodyPr/>
        <a:lstStyle/>
        <a:p>
          <a:pPr>
            <a:defRPr sz="776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46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hPercent val="48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5981308411214957E-2"/>
          <c:y val="6.7039106145251395E-2"/>
          <c:w val="0.55514018691588785"/>
          <c:h val="0.7430167597765363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заработная плата работников муниципальных учреждений культуры и искусства (руб.)</c:v>
                </c:pt>
              </c:strCache>
            </c:strRef>
          </c:tx>
          <c:spPr>
            <a:solidFill>
              <a:srgbClr val="9999FF"/>
            </a:solidFill>
            <a:ln w="1263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260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2011г</c:v>
                </c:pt>
                <c:pt idx="1">
                  <c:v>2012г</c:v>
                </c:pt>
                <c:pt idx="2">
                  <c:v>2013г</c:v>
                </c:pt>
                <c:pt idx="3">
                  <c:v>2014г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10256</c:v>
                </c:pt>
                <c:pt idx="1">
                  <c:v>14196</c:v>
                </c:pt>
                <c:pt idx="2">
                  <c:v>16835.599999999999</c:v>
                </c:pt>
                <c:pt idx="3">
                  <c:v>22343.1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72280064"/>
        <c:axId val="172290048"/>
        <c:axId val="0"/>
      </c:bar3DChart>
      <c:catAx>
        <c:axId val="1722800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22900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2290048"/>
        <c:scaling>
          <c:orientation val="minMax"/>
        </c:scaling>
        <c:delete val="0"/>
        <c:axPos val="l"/>
        <c:majorGridlines>
          <c:spPr>
            <a:ln w="3158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2280064"/>
        <c:crosses val="autoZero"/>
        <c:crossBetween val="between"/>
      </c:valAx>
      <c:spPr>
        <a:noFill/>
        <a:ln w="25260">
          <a:noFill/>
        </a:ln>
      </c:spPr>
    </c:plotArea>
    <c:legend>
      <c:legendPos val="r"/>
      <c:layout>
        <c:manualLayout>
          <c:xMode val="edge"/>
          <c:yMode val="edge"/>
          <c:x val="0.66168224299065426"/>
          <c:y val="0.32960893854748602"/>
          <c:w val="0.33084112149532713"/>
          <c:h val="0.34636871508379891"/>
        </c:manualLayout>
      </c:layout>
      <c:overlay val="0"/>
      <c:spPr>
        <a:noFill/>
        <a:ln w="3158">
          <a:solidFill>
            <a:srgbClr val="000000"/>
          </a:solidFill>
          <a:prstDash val="solid"/>
        </a:ln>
      </c:spPr>
      <c:txPr>
        <a:bodyPr/>
        <a:lstStyle/>
        <a:p>
          <a:pPr>
            <a:defRPr sz="731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hPercent val="48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4714548802946599E-2"/>
          <c:y val="7.1428571428571425E-2"/>
          <c:w val="0.55616942909760592"/>
          <c:h val="0.7417582417582417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заработная плата работников: муниципальных учреждений физической культуры и спорта (руб.)</c:v>
                </c:pt>
              </c:strCache>
            </c:strRef>
          </c:tx>
          <c:spPr>
            <a:solidFill>
              <a:srgbClr val="9999FF"/>
            </a:solidFill>
            <a:ln w="1260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216">
                <a:noFill/>
              </a:ln>
            </c:spPr>
            <c:txPr>
              <a:bodyPr/>
              <a:lstStyle/>
              <a:p>
                <a:pPr>
                  <a:defRPr sz="794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2011г</c:v>
                </c:pt>
                <c:pt idx="1">
                  <c:v>2012г</c:v>
                </c:pt>
                <c:pt idx="2">
                  <c:v>2013г</c:v>
                </c:pt>
                <c:pt idx="3">
                  <c:v>2014г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8893</c:v>
                </c:pt>
                <c:pt idx="1">
                  <c:v>9965</c:v>
                </c:pt>
                <c:pt idx="2">
                  <c:v>10878.7</c:v>
                </c:pt>
                <c:pt idx="3">
                  <c:v>14660.51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72298624"/>
        <c:axId val="172300160"/>
        <c:axId val="0"/>
      </c:bar3DChart>
      <c:catAx>
        <c:axId val="1722986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5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4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230016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2300160"/>
        <c:scaling>
          <c:orientation val="minMax"/>
        </c:scaling>
        <c:delete val="0"/>
        <c:axPos val="l"/>
        <c:majorGridlines>
          <c:spPr>
            <a:ln w="3152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5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4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2298624"/>
        <c:crosses val="autoZero"/>
        <c:crossBetween val="between"/>
      </c:valAx>
      <c:spPr>
        <a:noFill/>
        <a:ln w="25216">
          <a:noFill/>
        </a:ln>
      </c:spPr>
    </c:plotArea>
    <c:legend>
      <c:legendPos val="r"/>
      <c:layout>
        <c:manualLayout>
          <c:xMode val="edge"/>
          <c:yMode val="edge"/>
          <c:x val="0.66114180478821361"/>
          <c:y val="0.32967032967032966"/>
          <c:w val="0.33149171270718231"/>
          <c:h val="0.34065934065934067"/>
        </c:manualLayout>
      </c:layout>
      <c:overlay val="0"/>
      <c:spPr>
        <a:noFill/>
        <a:ln w="3152">
          <a:solidFill>
            <a:srgbClr val="000000"/>
          </a:solidFill>
          <a:prstDash val="solid"/>
        </a:ln>
      </c:spPr>
      <c:txPr>
        <a:bodyPr/>
        <a:lstStyle/>
        <a:p>
          <a:pPr>
            <a:defRPr sz="73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9640</Words>
  <Characters>54950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2</cp:revision>
  <cp:lastPrinted>2015-05-12T06:12:00Z</cp:lastPrinted>
  <dcterms:created xsi:type="dcterms:W3CDTF">2015-05-12T06:13:00Z</dcterms:created>
  <dcterms:modified xsi:type="dcterms:W3CDTF">2015-05-12T06:13:00Z</dcterms:modified>
</cp:coreProperties>
</file>